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A724" w14:textId="30B03407" w:rsidR="004B5A3C" w:rsidRDefault="004B5A3C" w:rsidP="00070B51">
      <w:pPr>
        <w:pStyle w:val="Kop1"/>
        <w:spacing w:after="0"/>
      </w:pPr>
      <w:r>
        <w:t xml:space="preserve">Definities en </w:t>
      </w:r>
      <w:r w:rsidR="00070B51">
        <w:t>m</w:t>
      </w:r>
      <w:r>
        <w:t xml:space="preserve">ethode </w:t>
      </w:r>
    </w:p>
    <w:p w14:paraId="72C8B985" w14:textId="70B0F520" w:rsidR="00291C5E" w:rsidRDefault="00D23595" w:rsidP="00291C5E">
      <w:bookmarkStart w:id="0" w:name="_Hlk132789327"/>
      <w:r>
        <w:t>10-11</w:t>
      </w:r>
      <w:r w:rsidR="00291C5E">
        <w:t>-2023</w:t>
      </w:r>
    </w:p>
    <w:bookmarkEnd w:id="0"/>
    <w:p w14:paraId="3020BC7F" w14:textId="77777777" w:rsidR="00291C5E" w:rsidRPr="00291C5E" w:rsidRDefault="00291C5E" w:rsidP="00291C5E"/>
    <w:p w14:paraId="7A05B59D" w14:textId="77777777" w:rsidR="004B5A3C" w:rsidRDefault="004B5A3C" w:rsidP="00070B51">
      <w:r>
        <w:t>Dit document licht de gebruikte methode en definities van de getoonde indicatoren voor de monitoring van de NAL toe.</w:t>
      </w:r>
    </w:p>
    <w:p w14:paraId="0A2EC0A1" w14:textId="77777777" w:rsidR="00070B51" w:rsidRDefault="00070B51" w:rsidP="00070B51">
      <w:pPr>
        <w:pStyle w:val="Kop2"/>
        <w:spacing w:before="0" w:after="0"/>
      </w:pPr>
    </w:p>
    <w:p w14:paraId="48154850" w14:textId="7595AD85" w:rsidR="004B5A3C" w:rsidRPr="0030501E" w:rsidRDefault="004B5A3C" w:rsidP="00070B51">
      <w:pPr>
        <w:pStyle w:val="Kop2"/>
        <w:spacing w:before="0" w:after="0"/>
      </w:pPr>
      <w:r w:rsidRPr="0030501E">
        <w:t>Bronnen</w:t>
      </w:r>
    </w:p>
    <w:p w14:paraId="700119C9" w14:textId="77777777" w:rsidR="00795EF1" w:rsidRDefault="00795EF1" w:rsidP="00070B51">
      <w:pPr>
        <w:rPr>
          <w:rStyle w:val="Kop3Char"/>
        </w:rPr>
      </w:pPr>
    </w:p>
    <w:p w14:paraId="7383FDB3" w14:textId="56720A47" w:rsidR="004B5A3C" w:rsidRPr="0030501E" w:rsidRDefault="004B5A3C" w:rsidP="00070B51">
      <w:pPr>
        <w:rPr>
          <w:rStyle w:val="Kop3Char"/>
        </w:rPr>
      </w:pPr>
      <w:proofErr w:type="spellStart"/>
      <w:r w:rsidRPr="0030501E">
        <w:rPr>
          <w:rStyle w:val="Kop3Char"/>
        </w:rPr>
        <w:t>Eco-movement</w:t>
      </w:r>
      <w:proofErr w:type="spellEnd"/>
      <w:r w:rsidRPr="0030501E">
        <w:rPr>
          <w:rStyle w:val="Kop3Char"/>
        </w:rPr>
        <w:t xml:space="preserve"> </w:t>
      </w:r>
      <w:proofErr w:type="spellStart"/>
      <w:r w:rsidRPr="0030501E">
        <w:rPr>
          <w:rStyle w:val="Kop3Char"/>
        </w:rPr>
        <w:t>reporting</w:t>
      </w:r>
      <w:proofErr w:type="spellEnd"/>
      <w:r w:rsidRPr="0030501E">
        <w:rPr>
          <w:rStyle w:val="Kop3Char"/>
        </w:rPr>
        <w:t xml:space="preserve"> tool voor alle publieke en </w:t>
      </w:r>
      <w:proofErr w:type="spellStart"/>
      <w:r w:rsidRPr="0030501E">
        <w:rPr>
          <w:rStyle w:val="Kop3Char"/>
        </w:rPr>
        <w:t>semi-publieke</w:t>
      </w:r>
      <w:proofErr w:type="spellEnd"/>
      <w:r w:rsidRPr="0030501E">
        <w:rPr>
          <w:rStyle w:val="Kop3Char"/>
        </w:rPr>
        <w:t xml:space="preserve"> laadpunten</w:t>
      </w:r>
    </w:p>
    <w:p w14:paraId="29A8B7A9" w14:textId="77777777" w:rsidR="004B5A3C" w:rsidRDefault="004B5A3C" w:rsidP="00070B51">
      <w:r>
        <w:t xml:space="preserve">Deze data is opgesteld op basis van het OCPI protocol en wordt verrijkt door </w:t>
      </w:r>
      <w:proofErr w:type="spellStart"/>
      <w:r>
        <w:t>Eco-movement</w:t>
      </w:r>
      <w:proofErr w:type="spellEnd"/>
      <w:r>
        <w:t xml:space="preserve">. In deze </w:t>
      </w:r>
      <w:proofErr w:type="spellStart"/>
      <w:r>
        <w:t>reportingtool</w:t>
      </w:r>
      <w:proofErr w:type="spellEnd"/>
      <w:r>
        <w:t xml:space="preserve"> staat per EVSE (laadpunt) informatie over de locatie, vermogen, beschikbaarheid.</w:t>
      </w:r>
    </w:p>
    <w:p w14:paraId="489A9D25" w14:textId="77777777" w:rsidR="004B5A3C" w:rsidRDefault="004B5A3C" w:rsidP="00070B51">
      <w:pPr>
        <w:shd w:val="clear" w:color="auto" w:fill="FFFFFF"/>
        <w:spacing w:line="240" w:lineRule="auto"/>
        <w:textAlignment w:val="baseline"/>
      </w:pPr>
      <w:r>
        <w:t>Chargepoint Operators (</w:t>
      </w:r>
      <w:proofErr w:type="spellStart"/>
      <w:r>
        <w:t>CPO’s</w:t>
      </w:r>
      <w:proofErr w:type="spellEnd"/>
      <w:r>
        <w:t xml:space="preserve">) en </w:t>
      </w:r>
      <w:proofErr w:type="spellStart"/>
      <w:r>
        <w:t>Mobility</w:t>
      </w:r>
      <w:proofErr w:type="spellEnd"/>
      <w:r>
        <w:t xml:space="preserve"> Service Providers (</w:t>
      </w:r>
      <w:proofErr w:type="spellStart"/>
      <w:r>
        <w:t>MSP’s</w:t>
      </w:r>
      <w:proofErr w:type="spellEnd"/>
      <w:r>
        <w:t xml:space="preserve">) geven via een directe data-koppeling de gegevens over hun laadpunten door aan </w:t>
      </w:r>
      <w:proofErr w:type="spellStart"/>
      <w:r>
        <w:t>Eco-Movement</w:t>
      </w:r>
      <w:proofErr w:type="spellEnd"/>
      <w:r>
        <w:t xml:space="preserve">. Zij verzamelen deze data, verrijken de dataset en leveren vervolgens de benodigde laadpuntgegevens aan. De dataset bevat alle publieke en </w:t>
      </w:r>
      <w:proofErr w:type="spellStart"/>
      <w:r>
        <w:t>semi-publieke</w:t>
      </w:r>
      <w:proofErr w:type="spellEnd"/>
      <w:r>
        <w:t xml:space="preserve"> laadpunten, zowel de reguliere als de </w:t>
      </w:r>
      <w:proofErr w:type="spellStart"/>
      <w:r>
        <w:t>snellaadpunten</w:t>
      </w:r>
      <w:proofErr w:type="spellEnd"/>
      <w:r>
        <w:t>.</w:t>
      </w:r>
    </w:p>
    <w:p w14:paraId="6E8B6A9B" w14:textId="77777777" w:rsidR="004B5A3C" w:rsidRDefault="004B5A3C" w:rsidP="00070B51">
      <w:pPr>
        <w:shd w:val="clear" w:color="auto" w:fill="FFFFFF"/>
        <w:spacing w:line="240" w:lineRule="auto"/>
        <w:textAlignment w:val="baseline"/>
      </w:pPr>
    </w:p>
    <w:p w14:paraId="7585B82A" w14:textId="77777777" w:rsidR="004B5A3C" w:rsidRDefault="004B5A3C" w:rsidP="00070B51">
      <w:pPr>
        <w:shd w:val="clear" w:color="auto" w:fill="FFFFFF"/>
        <w:spacing w:line="240" w:lineRule="auto"/>
        <w:textAlignment w:val="baseline"/>
      </w:pPr>
      <w:r>
        <w:t xml:space="preserve">Velden en definities van de </w:t>
      </w:r>
      <w:proofErr w:type="spellStart"/>
      <w:r>
        <w:t>Eco-movement</w:t>
      </w:r>
      <w:proofErr w:type="spellEnd"/>
      <w:r>
        <w:t xml:space="preserve"> data staan hier toegelicht:</w:t>
      </w:r>
    </w:p>
    <w:p w14:paraId="25F706D7" w14:textId="77777777" w:rsidR="004B5A3C" w:rsidRPr="005A06C5" w:rsidRDefault="00D23595" w:rsidP="00070B51">
      <w:pPr>
        <w:shd w:val="clear" w:color="auto" w:fill="FFFFFF"/>
        <w:spacing w:line="240" w:lineRule="auto"/>
        <w:textAlignment w:val="baseline"/>
        <w:rPr>
          <w:color w:val="0070C0"/>
          <w:lang w:val="en-US"/>
        </w:rPr>
      </w:pPr>
      <w:hyperlink r:id="rId7" w:history="1">
        <w:r w:rsidR="004B5A3C" w:rsidRPr="005A06C5">
          <w:rPr>
            <w:rStyle w:val="Hyperlink"/>
            <w:color w:val="0070C0"/>
            <w:lang w:val="en-US"/>
          </w:rPr>
          <w:t>Attribute Definitions - Documentation (eco-movement.com)</w:t>
        </w:r>
      </w:hyperlink>
    </w:p>
    <w:p w14:paraId="10CE2905" w14:textId="77777777" w:rsidR="004B5A3C" w:rsidRPr="002B231C" w:rsidRDefault="004B5A3C" w:rsidP="00070B51">
      <w:pPr>
        <w:shd w:val="clear" w:color="auto" w:fill="FFFFFF"/>
        <w:spacing w:line="240" w:lineRule="auto"/>
        <w:textAlignment w:val="baseline"/>
        <w:rPr>
          <w:lang w:val="en-US"/>
        </w:rPr>
      </w:pPr>
    </w:p>
    <w:p w14:paraId="50086029" w14:textId="77777777" w:rsidR="004B5A3C" w:rsidRDefault="004B5A3C" w:rsidP="00070B51">
      <w:r>
        <w:t>De laadpunten met het label ‘publiek’ en ‘</w:t>
      </w:r>
      <w:proofErr w:type="spellStart"/>
      <w:r>
        <w:t>semi-publiek</w:t>
      </w:r>
      <w:proofErr w:type="spellEnd"/>
      <w:r>
        <w:t>’ worden meegenomen in de analyses. De laadpunten met label ‘privaat’, nemen we niet mee, dit betreft slechts een zeer select aandeel van de totale private laadpunten en geeft geen goed inzicht in de ontwikkeling van dit type laadpunt.</w:t>
      </w:r>
    </w:p>
    <w:p w14:paraId="6C5DD956" w14:textId="77777777" w:rsidR="004B5A3C" w:rsidRDefault="004B5A3C" w:rsidP="00070B51">
      <w:pPr>
        <w:shd w:val="clear" w:color="auto" w:fill="FFFFFF"/>
        <w:spacing w:line="240" w:lineRule="auto"/>
        <w:textAlignment w:val="baseline"/>
      </w:pPr>
      <w:r w:rsidRPr="00F40F4B">
        <w:t>Het aantal laadpunten wordt gemeten aan de hand van de EVSE (Electric Vehicle Supply Equipment), met de definitie dat 1 voertuig tegelijk aan het laadpunt kan laden.</w:t>
      </w:r>
      <w:r>
        <w:t xml:space="preserve"> </w:t>
      </w:r>
    </w:p>
    <w:p w14:paraId="6767AD47" w14:textId="77777777" w:rsidR="004B5A3C" w:rsidRDefault="004B5A3C" w:rsidP="00070B51">
      <w:pPr>
        <w:shd w:val="clear" w:color="auto" w:fill="FFFFFF"/>
        <w:spacing w:line="240" w:lineRule="auto"/>
        <w:textAlignment w:val="baseline"/>
      </w:pPr>
    </w:p>
    <w:p w14:paraId="0F6F7282" w14:textId="77777777" w:rsidR="004B5A3C" w:rsidRPr="00F40F4B" w:rsidRDefault="004B5A3C" w:rsidP="00070B51">
      <w:pPr>
        <w:shd w:val="clear" w:color="auto" w:fill="FFFFFF"/>
        <w:spacing w:line="240" w:lineRule="auto"/>
        <w:textAlignment w:val="baseline"/>
      </w:pPr>
      <w:r w:rsidRPr="00F40F4B">
        <w:t>Voor september 2019 werd het aantal laadpunten gerapporteerd op basis van het aantal connectoren (stekkers), waarvan er soms meerdere per laadpunt aanwezig zijn en er dus feitelijk te veel laadpunten zijn geteld.</w:t>
      </w:r>
    </w:p>
    <w:p w14:paraId="4188A66A" w14:textId="77777777" w:rsidR="004B5A3C" w:rsidRDefault="004B5A3C" w:rsidP="00070B51">
      <w:pPr>
        <w:pStyle w:val="Lijstalinea"/>
        <w:numPr>
          <w:ilvl w:val="0"/>
          <w:numId w:val="6"/>
        </w:numPr>
        <w:shd w:val="clear" w:color="auto" w:fill="FFFFFF"/>
        <w:spacing w:line="240" w:lineRule="auto"/>
        <w:textAlignment w:val="baseline"/>
      </w:pPr>
      <w:r w:rsidRPr="00F40F4B">
        <w:t>Bij reguliere laadpunten heeft dit niet tot noemenswaardige aanpassing geleid (daar is vaak 1 connector per EVSE aanwezig)</w:t>
      </w:r>
    </w:p>
    <w:p w14:paraId="32650B66" w14:textId="77777777" w:rsidR="004B5A3C" w:rsidRDefault="004B5A3C" w:rsidP="00070B51">
      <w:pPr>
        <w:pStyle w:val="Lijstalinea"/>
        <w:numPr>
          <w:ilvl w:val="0"/>
          <w:numId w:val="6"/>
        </w:numPr>
        <w:shd w:val="clear" w:color="auto" w:fill="FFFFFF"/>
        <w:spacing w:line="240" w:lineRule="auto"/>
        <w:textAlignment w:val="baseline"/>
      </w:pPr>
      <w:r w:rsidRPr="00F40F4B">
        <w:t xml:space="preserve">Bij </w:t>
      </w:r>
      <w:proofErr w:type="spellStart"/>
      <w:r w:rsidRPr="00F40F4B">
        <w:t>snellaadpunten</w:t>
      </w:r>
      <w:proofErr w:type="spellEnd"/>
      <w:r w:rsidRPr="00F40F4B">
        <w:t xml:space="preserve"> resulteerde deze aanpassing in een afnamen van +/- 25% (bij </w:t>
      </w:r>
      <w:proofErr w:type="spellStart"/>
      <w:r w:rsidRPr="00F40F4B">
        <w:t>snellaadpunten</w:t>
      </w:r>
      <w:proofErr w:type="spellEnd"/>
      <w:r w:rsidRPr="00F40F4B">
        <w:t xml:space="preserve"> zijn vaak meerdere connectoren per EVSE aanwezig)</w:t>
      </w:r>
    </w:p>
    <w:p w14:paraId="69730831" w14:textId="77777777" w:rsidR="004B5A3C" w:rsidRDefault="004B5A3C" w:rsidP="00070B51">
      <w:pPr>
        <w:shd w:val="clear" w:color="auto" w:fill="FFFFFF"/>
        <w:spacing w:line="240" w:lineRule="auto"/>
        <w:textAlignment w:val="baseline"/>
      </w:pPr>
    </w:p>
    <w:p w14:paraId="7D0E2C38" w14:textId="77777777" w:rsidR="004B5A3C" w:rsidRDefault="004B5A3C" w:rsidP="00070B51">
      <w:pPr>
        <w:shd w:val="clear" w:color="auto" w:fill="FFFFFF"/>
        <w:spacing w:line="240" w:lineRule="auto"/>
        <w:textAlignment w:val="baseline"/>
      </w:pPr>
      <w:r>
        <w:t>Per s</w:t>
      </w:r>
      <w:r w:rsidRPr="00F40F4B">
        <w:t>eptember 2020</w:t>
      </w:r>
      <w:r>
        <w:t xml:space="preserve"> is er een verbeterslag geweest op het </w:t>
      </w:r>
      <w:proofErr w:type="spellStart"/>
      <w:r>
        <w:t>definieren</w:t>
      </w:r>
      <w:proofErr w:type="spellEnd"/>
      <w:r>
        <w:t xml:space="preserve"> van </w:t>
      </w:r>
      <w:proofErr w:type="spellStart"/>
      <w:r>
        <w:t>semi-publieke</w:t>
      </w:r>
      <w:proofErr w:type="spellEnd"/>
      <w:r>
        <w:t xml:space="preserve"> laadpunten</w:t>
      </w:r>
    </w:p>
    <w:p w14:paraId="23C35A2E" w14:textId="77777777" w:rsidR="004B5A3C" w:rsidRPr="00F40F4B" w:rsidRDefault="004B5A3C" w:rsidP="00070B51">
      <w:pPr>
        <w:pStyle w:val="Lijstalinea"/>
        <w:numPr>
          <w:ilvl w:val="0"/>
          <w:numId w:val="5"/>
        </w:numPr>
        <w:shd w:val="clear" w:color="auto" w:fill="FFFFFF"/>
        <w:spacing w:line="240" w:lineRule="auto"/>
        <w:textAlignment w:val="baseline"/>
      </w:pPr>
      <w:r w:rsidRPr="00F40F4B">
        <w:t xml:space="preserve">Thuislaadpunten die openstaan voor </w:t>
      </w:r>
      <w:proofErr w:type="spellStart"/>
      <w:r w:rsidRPr="00F40F4B">
        <w:t>roaming</w:t>
      </w:r>
      <w:proofErr w:type="spellEnd"/>
      <w:r w:rsidRPr="00F40F4B">
        <w:t xml:space="preserve"> en daardoor voorheen als </w:t>
      </w:r>
      <w:proofErr w:type="spellStart"/>
      <w:r w:rsidRPr="00F40F4B">
        <w:t>semi-publiek</w:t>
      </w:r>
      <w:proofErr w:type="spellEnd"/>
      <w:r w:rsidRPr="00F40F4B">
        <w:t xml:space="preserve"> geclassificeerd werden tellen we niet meer mee als </w:t>
      </w:r>
      <w:proofErr w:type="spellStart"/>
      <w:r w:rsidRPr="00F40F4B">
        <w:t>semi-publiek</w:t>
      </w:r>
      <w:proofErr w:type="spellEnd"/>
      <w:r w:rsidRPr="00F40F4B">
        <w:t xml:space="preserve"> laadpunt. Deze verbeterslag leidt tot een landelijke afname van +/- 20% t.o.v. het vorige maand gepresenteerde aantal </w:t>
      </w:r>
      <w:proofErr w:type="spellStart"/>
      <w:r w:rsidRPr="00F40F4B">
        <w:t>semi-publieke</w:t>
      </w:r>
      <w:proofErr w:type="spellEnd"/>
      <w:r w:rsidRPr="00F40F4B">
        <w:t xml:space="preserve"> (reguliere) laadpunten</w:t>
      </w:r>
    </w:p>
    <w:p w14:paraId="186757AD" w14:textId="0B952EEF" w:rsidR="004B5A3C" w:rsidRDefault="004B5A3C" w:rsidP="00070B51"/>
    <w:p w14:paraId="5343B362" w14:textId="4FB8C1E3" w:rsidR="00E97BB6" w:rsidRDefault="00E97BB6" w:rsidP="00E97BB6">
      <w:pPr>
        <w:shd w:val="clear" w:color="auto" w:fill="FFFFFF"/>
        <w:spacing w:line="240" w:lineRule="auto"/>
        <w:textAlignment w:val="baseline"/>
      </w:pPr>
      <w:r>
        <w:t>In de periode m</w:t>
      </w:r>
      <w:r w:rsidRPr="00E97BB6">
        <w:t>aart t/m juni 2023</w:t>
      </w:r>
      <w:r>
        <w:t xml:space="preserve"> zijn er </w:t>
      </w:r>
      <w:proofErr w:type="spellStart"/>
      <w:r w:rsidRPr="00E97BB6">
        <w:t>dubbelingen</w:t>
      </w:r>
      <w:proofErr w:type="spellEnd"/>
      <w:r w:rsidRPr="00E97BB6">
        <w:t xml:space="preserve"> in de laadpunten van bepaalde </w:t>
      </w:r>
      <w:proofErr w:type="spellStart"/>
      <w:r w:rsidRPr="00E97BB6">
        <w:t>CPO’s</w:t>
      </w:r>
      <w:proofErr w:type="spellEnd"/>
      <w:r>
        <w:t xml:space="preserve"> ontstaan</w:t>
      </w:r>
      <w:r w:rsidRPr="00E97BB6">
        <w:t xml:space="preserve">, waardoor er in deze periode een oververtegenwoordiging van met name het aantal </w:t>
      </w:r>
      <w:proofErr w:type="spellStart"/>
      <w:r w:rsidRPr="00E97BB6">
        <w:t>snellaadpunten</w:t>
      </w:r>
      <w:proofErr w:type="spellEnd"/>
      <w:r w:rsidRPr="00E97BB6">
        <w:t xml:space="preserve"> was.</w:t>
      </w:r>
      <w:r>
        <w:t xml:space="preserve"> Per 30-6 zijn deze laadpunten gecorrigeerd. In de maanden maart t/m mei zijn er +/- 600 </w:t>
      </w:r>
      <w:proofErr w:type="spellStart"/>
      <w:r>
        <w:t>snellaadpunten</w:t>
      </w:r>
      <w:proofErr w:type="spellEnd"/>
      <w:r>
        <w:t xml:space="preserve"> teveel gepubliceerd. Bij de reguliere (publieke en </w:t>
      </w:r>
      <w:proofErr w:type="spellStart"/>
      <w:r>
        <w:t>semi-publieke</w:t>
      </w:r>
      <w:proofErr w:type="spellEnd"/>
      <w:r>
        <w:t xml:space="preserve">) laadpunten is het aantal </w:t>
      </w:r>
      <w:proofErr w:type="spellStart"/>
      <w:r>
        <w:t>dubbelingen</w:t>
      </w:r>
      <w:proofErr w:type="spellEnd"/>
      <w:r>
        <w:t xml:space="preserve"> verwaarloosbaar geweest.</w:t>
      </w:r>
    </w:p>
    <w:p w14:paraId="7DF305A4" w14:textId="6F2C5F29" w:rsidR="00D23595" w:rsidRDefault="00D23595" w:rsidP="00E97BB6">
      <w:pPr>
        <w:shd w:val="clear" w:color="auto" w:fill="FFFFFF"/>
        <w:spacing w:line="240" w:lineRule="auto"/>
        <w:textAlignment w:val="baseline"/>
      </w:pPr>
    </w:p>
    <w:p w14:paraId="144B8808" w14:textId="7027C58E" w:rsidR="00D23595" w:rsidRPr="00E97BB6" w:rsidRDefault="00D23595" w:rsidP="00E97BB6">
      <w:pPr>
        <w:shd w:val="clear" w:color="auto" w:fill="FFFFFF"/>
        <w:spacing w:line="240" w:lineRule="auto"/>
        <w:textAlignment w:val="baseline"/>
      </w:pPr>
      <w:r>
        <w:lastRenderedPageBreak/>
        <w:t xml:space="preserve">Per oktober 2023 zijn </w:t>
      </w:r>
      <w:proofErr w:type="spellStart"/>
      <w:r>
        <w:t>snellaadpunten</w:t>
      </w:r>
      <w:proofErr w:type="spellEnd"/>
      <w:r>
        <w:t xml:space="preserve"> </w:t>
      </w:r>
      <w:proofErr w:type="spellStart"/>
      <w:r>
        <w:t>herberekend</w:t>
      </w:r>
      <w:proofErr w:type="spellEnd"/>
      <w:r>
        <w:t xml:space="preserve"> met een drempelwaarde van 50 kW, in plaats van 22 kW, in lijn met Europese definities. Dit heeft gezorgd voor verschuivingen in de categorieën laadpunten, ook in de historie die getoond wordt. </w:t>
      </w:r>
    </w:p>
    <w:p w14:paraId="753638F3" w14:textId="77777777" w:rsidR="00E97BB6" w:rsidRDefault="00E97BB6" w:rsidP="00070B51"/>
    <w:p w14:paraId="4F9B4DD4" w14:textId="7181030D" w:rsidR="004B5A3C" w:rsidRPr="0030501E" w:rsidRDefault="005A06C5" w:rsidP="00070B51">
      <w:pPr>
        <w:rPr>
          <w:rStyle w:val="Kop3Char"/>
        </w:rPr>
      </w:pPr>
      <w:r w:rsidRPr="0030501E">
        <w:rPr>
          <w:rStyle w:val="Kop3Char"/>
        </w:rPr>
        <w:t>Enquête</w:t>
      </w:r>
      <w:r w:rsidR="004B5A3C" w:rsidRPr="0030501E">
        <w:rPr>
          <w:rStyle w:val="Kop3Char"/>
        </w:rPr>
        <w:t xml:space="preserve"> onder EV-rijders</w:t>
      </w:r>
    </w:p>
    <w:p w14:paraId="1405B0E2" w14:textId="5441AE2C" w:rsidR="004B5A3C" w:rsidRDefault="004B5A3C" w:rsidP="00070B51">
      <w:r>
        <w:t xml:space="preserve">Het </w:t>
      </w:r>
      <w:r w:rsidR="00795EF1">
        <w:t>Nationaal</w:t>
      </w:r>
      <w:r>
        <w:t xml:space="preserve"> laadonderzoek wordt jaarlijks uitgevoerd door de Rijksdienst voor </w:t>
      </w:r>
      <w:r w:rsidR="00795EF1">
        <w:t>O</w:t>
      </w:r>
      <w:r>
        <w:t xml:space="preserve">ndernemend Nederland, de Vereniging Elektrische Rijders, ElaadNL en de Rijksuniversiteit Groningen. Het onderzoek telt enkele duizenden respondenten, de inzichten worden gebruikt om de kwaliteit van het laadnetwerk te kunnen onderbouwen. Gebaseerd op het onderzoek, rapporteren we op de NAL-website over tevredenheid van het laadnetwerk (rapportcijfer) en de </w:t>
      </w:r>
      <w:proofErr w:type="spellStart"/>
      <w:r>
        <w:t>laadmix</w:t>
      </w:r>
      <w:proofErr w:type="spellEnd"/>
      <w:r>
        <w:t xml:space="preserve"> (waar laadt men de elektrische auto). Daarnaast baseren we het aantal thuislaadpunten op onder andere de resultaten uit deze </w:t>
      </w:r>
      <w:r w:rsidR="00795EF1">
        <w:t>enquête</w:t>
      </w:r>
      <w:r w:rsidR="005A06C5">
        <w:t xml:space="preserve"> (zie ook Private laadpunten (lichte voertuigen))</w:t>
      </w:r>
      <w:r>
        <w:t>.</w:t>
      </w:r>
    </w:p>
    <w:p w14:paraId="76C3AC3E" w14:textId="4BB3B3B2" w:rsidR="00291C5E" w:rsidRDefault="00291C5E" w:rsidP="00070B51"/>
    <w:p w14:paraId="4801802A" w14:textId="1536EEB5" w:rsidR="00291C5E" w:rsidRDefault="00291C5E" w:rsidP="00070B51">
      <w:bookmarkStart w:id="1" w:name="_Hlk132789266"/>
      <w:r>
        <w:t>Daarnaast worden de resultaten uit het nationaal laadonderzoek gebruikt voor de kalibratie van de laaddrukanalyse.</w:t>
      </w:r>
    </w:p>
    <w:bookmarkEnd w:id="1"/>
    <w:p w14:paraId="5F192A67" w14:textId="77777777" w:rsidR="00795EF1" w:rsidRDefault="00795EF1" w:rsidP="00070B51">
      <w:pPr>
        <w:rPr>
          <w:rStyle w:val="Kop3Char"/>
        </w:rPr>
      </w:pPr>
    </w:p>
    <w:p w14:paraId="395F9309" w14:textId="32F794EE" w:rsidR="004B5A3C" w:rsidRPr="0030501E" w:rsidRDefault="004B5A3C" w:rsidP="00070B51">
      <w:pPr>
        <w:rPr>
          <w:rStyle w:val="Kop3Char"/>
        </w:rPr>
      </w:pPr>
      <w:r w:rsidRPr="0030501E">
        <w:rPr>
          <w:rStyle w:val="Kop3Char"/>
        </w:rPr>
        <w:t>CBS: onderzoek naar thuisadres van personenauto’s</w:t>
      </w:r>
    </w:p>
    <w:p w14:paraId="22989E4F" w14:textId="55974501" w:rsidR="004B5A3C" w:rsidRPr="00CD6F75" w:rsidRDefault="004B5A3C" w:rsidP="00070B51">
      <w:pPr>
        <w:rPr>
          <w:rFonts w:cstheme="minorHAnsi"/>
        </w:rPr>
      </w:pPr>
      <w:r>
        <w:t xml:space="preserve">Het aantal voertuigen wordt door de Rijksdienst voor het Wegverkeer (RDW) geregistreerd in het BRV (de </w:t>
      </w:r>
      <w:r w:rsidRPr="009B4CC6">
        <w:t xml:space="preserve">Basisregistratie </w:t>
      </w:r>
      <w:r>
        <w:t xml:space="preserve">voor </w:t>
      </w:r>
      <w:r w:rsidRPr="009B4CC6">
        <w:t>Voertuigen</w:t>
      </w:r>
      <w:r>
        <w:t xml:space="preserve">). Op landelijk niveau kloppen de aantallen, maar op regionaal- en provinciaalniveau geeft het BRV een vertekend beeld. </w:t>
      </w:r>
      <w:r w:rsidRPr="009B4CC6">
        <w:t>De standplaats is gekoppeld aan de geregistreerde eigenaar. Daardoor staan veel</w:t>
      </w:r>
      <w:r w:rsidR="00795EF1">
        <w:t xml:space="preserve"> (zakelijke)</w:t>
      </w:r>
      <w:r w:rsidRPr="009B4CC6">
        <w:t xml:space="preserve"> auto’s geregistreerd bij hoofdkantoren of leasebedrijven in plaats van op de locatie van de eindgebruiker.</w:t>
      </w:r>
      <w:r>
        <w:t xml:space="preserve"> </w:t>
      </w:r>
      <w:r w:rsidRPr="00CD6F75">
        <w:rPr>
          <w:rFonts w:cstheme="minorHAnsi"/>
        </w:rPr>
        <w:t xml:space="preserve">RVO heeft het CBS gevraagd jaarlijks onderzoek te doen naar de precieze standplaats van elektrische auto’s. Door de BRV te koppelen met verschillende bronnen is het CBS op zoek gegaan naar de eindgebruikers van elektrische auto’s. De belangrijkste bron was de </w:t>
      </w:r>
      <w:proofErr w:type="spellStart"/>
      <w:r w:rsidRPr="00CD6F75">
        <w:rPr>
          <w:rFonts w:cstheme="minorHAnsi"/>
        </w:rPr>
        <w:t>Polisadministratie</w:t>
      </w:r>
      <w:proofErr w:type="spellEnd"/>
      <w:r w:rsidRPr="00CD6F75">
        <w:rPr>
          <w:rFonts w:cstheme="minorHAnsi"/>
        </w:rPr>
        <w:t>, die informatie bevat over werknemers met een auto van de zaak. Ook is er een koppeling gemaakt met het Algemeen Bedrijvenregister (ABR) en data van de Belastingdienst over zakelijke voertuigen. Via de Basisregistratie personen (BRP) konden de onderzoekers vervolgens de locatie van de eindgebruiker vaststellen.</w:t>
      </w:r>
      <w:r>
        <w:rPr>
          <w:rStyle w:val="Verwijzingopmerking"/>
        </w:rPr>
        <w:t xml:space="preserve"> </w:t>
      </w:r>
      <w:r w:rsidRPr="00CD6F75">
        <w:rPr>
          <w:rFonts w:cstheme="minorHAnsi"/>
        </w:rPr>
        <w:t>Het was niet mogelijk om voor alle kentekens een koppeling te leggen met de eindgebruiker. De resterende kentekens zijn met verdeelsleutels zo goed mogelijk toegewezen. Het aantal per regio en provincie is dus een schatting en geen hard getal. De verdeling tussen de provincies is gebaseerd op een jaarlijks ijkpunt: vanaf 1 januari 2020 is jaarlijks een verdeling opgesteld door het CBS. Deze verdeling wordt vervolgens per maand geëxtrapoleerd, met de aanname dat de verdeling tussen de provincies gedurende het jaar niet veel verander</w:t>
      </w:r>
      <w:r w:rsidR="00B76C11">
        <w:rPr>
          <w:rFonts w:cstheme="minorHAnsi"/>
        </w:rPr>
        <w:t>t</w:t>
      </w:r>
      <w:r w:rsidRPr="00CD6F75">
        <w:rPr>
          <w:rFonts w:cstheme="minorHAnsi"/>
        </w:rPr>
        <w:t>.</w:t>
      </w:r>
    </w:p>
    <w:p w14:paraId="53FDEE9A" w14:textId="77777777" w:rsidR="004B5A3C" w:rsidRDefault="004B5A3C" w:rsidP="00070B51">
      <w:pPr>
        <w:spacing w:line="240" w:lineRule="auto"/>
      </w:pPr>
      <w:r w:rsidRPr="00CD6F75">
        <w:rPr>
          <w:rFonts w:cstheme="minorHAnsi"/>
        </w:rPr>
        <w:t xml:space="preserve">De rapportages van het CBS zijn te vinden op </w:t>
      </w:r>
      <w:hyperlink r:id="rId8" w:history="1">
        <w:r>
          <w:rPr>
            <w:rStyle w:val="Hyperlink"/>
          </w:rPr>
          <w:t>Elektrisch rijden (rvo.nl)</w:t>
        </w:r>
      </w:hyperlink>
    </w:p>
    <w:p w14:paraId="4FB762BC" w14:textId="77777777" w:rsidR="004B5A3C" w:rsidRPr="00CD6F75" w:rsidRDefault="004B5A3C" w:rsidP="00070B51">
      <w:pPr>
        <w:rPr>
          <w:b/>
          <w:bCs/>
        </w:rPr>
      </w:pPr>
    </w:p>
    <w:p w14:paraId="4953A980" w14:textId="77777777" w:rsidR="004B5A3C" w:rsidRDefault="004B5A3C" w:rsidP="00070B51">
      <w:pPr>
        <w:pStyle w:val="Kop2"/>
        <w:spacing w:before="0" w:after="0"/>
      </w:pPr>
      <w:r>
        <w:t>Aantal en type laadpunten</w:t>
      </w:r>
    </w:p>
    <w:p w14:paraId="6A5022A3" w14:textId="77777777" w:rsidR="00E97BB6" w:rsidRDefault="00E97BB6" w:rsidP="00070B51">
      <w:pPr>
        <w:rPr>
          <w:rStyle w:val="Kop3Char"/>
        </w:rPr>
      </w:pPr>
    </w:p>
    <w:p w14:paraId="299A8039" w14:textId="6FCEC45D" w:rsidR="004B5A3C" w:rsidRPr="000E26BE" w:rsidRDefault="004B5A3C" w:rsidP="00070B51">
      <w:r w:rsidRPr="003F409A">
        <w:rPr>
          <w:rStyle w:val="Kop3Char"/>
        </w:rPr>
        <w:t>Private laadpunte</w:t>
      </w:r>
      <w:r>
        <w:rPr>
          <w:rStyle w:val="Kop3Char"/>
        </w:rPr>
        <w:t xml:space="preserve">n </w:t>
      </w:r>
      <w:r w:rsidRPr="00B76C11">
        <w:rPr>
          <w:rStyle w:val="Kop3Char"/>
          <w:b w:val="0"/>
          <w:bCs/>
        </w:rPr>
        <w:t>(lichte voertuigen)</w:t>
      </w:r>
      <w:r>
        <w:br/>
        <w:t xml:space="preserve">Het overgrote deel van de private laadpunten staat niet open voor </w:t>
      </w:r>
      <w:proofErr w:type="spellStart"/>
      <w:r>
        <w:t>roaming</w:t>
      </w:r>
      <w:proofErr w:type="spellEnd"/>
      <w:r w:rsidR="00795EF1">
        <w:t xml:space="preserve"> via OCPI</w:t>
      </w:r>
      <w:r>
        <w:t xml:space="preserve">, deze zijn dus niet terug te vinden in de data van </w:t>
      </w:r>
      <w:proofErr w:type="spellStart"/>
      <w:r>
        <w:t>Eco-movement</w:t>
      </w:r>
      <w:proofErr w:type="spellEnd"/>
      <w:r>
        <w:t xml:space="preserve">. Waar de publieke en </w:t>
      </w:r>
      <w:proofErr w:type="spellStart"/>
      <w:r>
        <w:t>semi-publieke</w:t>
      </w:r>
      <w:proofErr w:type="spellEnd"/>
      <w:r>
        <w:t xml:space="preserve"> laadpunten zeer nauwkeurig in beeld worden gebracht d.m.v. een directe dataverbinding, wordt het aantal privé laadpunten op basis van een benadering bepaald.</w:t>
      </w:r>
    </w:p>
    <w:p w14:paraId="2735D3B0" w14:textId="77777777" w:rsidR="004B5A3C" w:rsidRPr="00A720F2" w:rsidRDefault="004B5A3C" w:rsidP="00070B51">
      <w:pPr>
        <w:pStyle w:val="Lijstalinea"/>
        <w:numPr>
          <w:ilvl w:val="0"/>
          <w:numId w:val="4"/>
        </w:numPr>
        <w:spacing w:line="259" w:lineRule="auto"/>
        <w:rPr>
          <w:u w:val="single"/>
        </w:rPr>
      </w:pPr>
      <w:r w:rsidRPr="000502E0">
        <w:rPr>
          <w:b/>
          <w:bCs/>
        </w:rPr>
        <w:t>Privé laadpunt thuis</w:t>
      </w:r>
      <w:r w:rsidRPr="00A720F2">
        <w:t xml:space="preserve"> - </w:t>
      </w:r>
      <w:r>
        <w:t>Vermogen in veel gevallen 2,3 of 3,7 kW, bij 3-fase laden is ook 11 kW mogelijk</w:t>
      </w:r>
    </w:p>
    <w:p w14:paraId="5706DDA1" w14:textId="77777777" w:rsidR="004B5A3C" w:rsidRPr="008C2349" w:rsidRDefault="004B5A3C" w:rsidP="00070B51">
      <w:pPr>
        <w:ind w:firstLine="708"/>
      </w:pPr>
      <w:r>
        <w:t>Berekening: Aantal stekkervoertuigen * percentage EV-rijders met een privé laadpunt thuis</w:t>
      </w:r>
    </w:p>
    <w:p w14:paraId="3D714966" w14:textId="77777777" w:rsidR="004B5A3C" w:rsidRDefault="004B5A3C" w:rsidP="00070B51">
      <w:pPr>
        <w:pStyle w:val="Lijstalinea"/>
        <w:numPr>
          <w:ilvl w:val="1"/>
          <w:numId w:val="4"/>
        </w:numPr>
        <w:spacing w:line="259" w:lineRule="auto"/>
      </w:pPr>
      <w:r>
        <w:lastRenderedPageBreak/>
        <w:t xml:space="preserve">aantal stekkervoertuigen per provincie (bron: CBS) </w:t>
      </w:r>
    </w:p>
    <w:p w14:paraId="766AEEF8" w14:textId="1F4DB4FD" w:rsidR="004B5A3C" w:rsidRDefault="004B5A3C" w:rsidP="00070B51">
      <w:pPr>
        <w:pStyle w:val="Lijstalinea"/>
        <w:numPr>
          <w:ilvl w:val="1"/>
          <w:numId w:val="4"/>
        </w:numPr>
        <w:spacing w:line="259" w:lineRule="auto"/>
      </w:pPr>
      <w:r>
        <w:t xml:space="preserve">aandeel EV-rijders met een eigen laadpaal (bron: </w:t>
      </w:r>
      <w:r w:rsidR="00795EF1">
        <w:t>N</w:t>
      </w:r>
      <w:r>
        <w:t>ationaal laadonderzoek)</w:t>
      </w:r>
    </w:p>
    <w:p w14:paraId="0325055C" w14:textId="3E4B5DC8" w:rsidR="00E97BB6" w:rsidRDefault="00E97BB6" w:rsidP="00E97BB6">
      <w:pPr>
        <w:pStyle w:val="Lijstalinea"/>
        <w:spacing w:line="259" w:lineRule="auto"/>
        <w:ind w:left="1080"/>
      </w:pPr>
    </w:p>
    <w:p w14:paraId="6C59A6CF" w14:textId="77777777" w:rsidR="00E97BB6" w:rsidRDefault="00E97BB6" w:rsidP="00E97BB6">
      <w:pPr>
        <w:pStyle w:val="Lijstalinea"/>
        <w:spacing w:line="259" w:lineRule="auto"/>
        <w:ind w:left="1080"/>
      </w:pPr>
    </w:p>
    <w:p w14:paraId="7F5E8CA9" w14:textId="77777777" w:rsidR="004B5A3C" w:rsidRPr="00697C0E" w:rsidRDefault="004B5A3C" w:rsidP="00070B51">
      <w:pPr>
        <w:pStyle w:val="Lijstalinea"/>
        <w:numPr>
          <w:ilvl w:val="0"/>
          <w:numId w:val="4"/>
        </w:numPr>
        <w:spacing w:line="259" w:lineRule="auto"/>
        <w:rPr>
          <w:b/>
          <w:bCs/>
        </w:rPr>
      </w:pPr>
      <w:r w:rsidRPr="00697C0E">
        <w:rPr>
          <w:b/>
          <w:bCs/>
        </w:rPr>
        <w:t xml:space="preserve">Werk </w:t>
      </w:r>
    </w:p>
    <w:p w14:paraId="6947373D" w14:textId="77777777" w:rsidR="004B5A3C" w:rsidRPr="00795EF1" w:rsidRDefault="004B5A3C" w:rsidP="00070B51">
      <w:pPr>
        <w:pStyle w:val="Lijstalinea"/>
        <w:numPr>
          <w:ilvl w:val="0"/>
          <w:numId w:val="1"/>
        </w:numPr>
        <w:rPr>
          <w:u w:val="single"/>
        </w:rPr>
      </w:pPr>
      <w:r w:rsidRPr="00795EF1">
        <w:t>Deze laadpunten vallen deels onder de noemer ‘</w:t>
      </w:r>
      <w:proofErr w:type="spellStart"/>
      <w:r w:rsidRPr="00795EF1">
        <w:t>semi-publiek</w:t>
      </w:r>
      <w:proofErr w:type="spellEnd"/>
      <w:r w:rsidRPr="00795EF1">
        <w:t>’ maar zijn niet in alle gevallen zichtbaar in de data. Deze laadpunten zijn (nu) nog beperkt zichtbaar in ons overzicht.</w:t>
      </w:r>
    </w:p>
    <w:p w14:paraId="6CE698A7" w14:textId="77777777" w:rsidR="005A06C5" w:rsidRDefault="005A06C5" w:rsidP="00070B51">
      <w:pPr>
        <w:pStyle w:val="Kop3"/>
        <w:spacing w:before="0"/>
      </w:pPr>
    </w:p>
    <w:p w14:paraId="6C1F0523" w14:textId="7EDC84FB" w:rsidR="004B5A3C" w:rsidRPr="00070DC6" w:rsidRDefault="004B5A3C" w:rsidP="00070B51">
      <w:pPr>
        <w:pStyle w:val="Kop3"/>
        <w:spacing w:before="0"/>
      </w:pPr>
      <w:r>
        <w:t>Regulier p</w:t>
      </w:r>
      <w:r w:rsidRPr="00070DC6">
        <w:t>ubliek laadpunt</w:t>
      </w:r>
      <w:r>
        <w:t xml:space="preserve"> </w:t>
      </w:r>
      <w:r>
        <w:rPr>
          <w:rStyle w:val="Kop3Char"/>
        </w:rPr>
        <w:t>(lichte voertuigen)</w:t>
      </w:r>
    </w:p>
    <w:p w14:paraId="7D14F1B8" w14:textId="77777777" w:rsidR="004B5A3C" w:rsidRDefault="004B5A3C" w:rsidP="00070B51">
      <w:r w:rsidRPr="00450A43">
        <w:t>Een laadpunt dat 24/7 openbaar toegankelijk is op een publieke locatie, zonder barrières zoals slagbomen of poorten.</w:t>
      </w:r>
    </w:p>
    <w:p w14:paraId="278A102A" w14:textId="64BE5F18" w:rsidR="004B5A3C" w:rsidRPr="00697C0E" w:rsidRDefault="004B5A3C" w:rsidP="00070B51">
      <w:r w:rsidRPr="00697C0E">
        <w:t xml:space="preserve">Een regulier laadpunt heeft een vermogen t/m </w:t>
      </w:r>
      <w:r w:rsidR="00D23595">
        <w:t>50</w:t>
      </w:r>
      <w:r w:rsidRPr="00697C0E">
        <w:t xml:space="preserve"> kW</w:t>
      </w:r>
    </w:p>
    <w:p w14:paraId="6440741A" w14:textId="77777777" w:rsidR="00291C5E" w:rsidRDefault="00291C5E" w:rsidP="00070B51">
      <w:pPr>
        <w:pStyle w:val="Kop3"/>
        <w:spacing w:before="0"/>
      </w:pPr>
    </w:p>
    <w:p w14:paraId="769AD985" w14:textId="196F774D" w:rsidR="004B5A3C" w:rsidRPr="00070DC6" w:rsidRDefault="004B5A3C" w:rsidP="00070B51">
      <w:pPr>
        <w:pStyle w:val="Kop3"/>
        <w:spacing w:before="0"/>
      </w:pPr>
      <w:r>
        <w:t xml:space="preserve">Regulier </w:t>
      </w:r>
      <w:proofErr w:type="spellStart"/>
      <w:r>
        <w:t>s</w:t>
      </w:r>
      <w:r w:rsidRPr="00070DC6">
        <w:t>emi-publiek</w:t>
      </w:r>
      <w:proofErr w:type="spellEnd"/>
      <w:r w:rsidRPr="00070DC6">
        <w:t xml:space="preserve"> laadpunt</w:t>
      </w:r>
      <w:r>
        <w:t xml:space="preserve"> </w:t>
      </w:r>
      <w:r>
        <w:rPr>
          <w:rStyle w:val="Kop3Char"/>
        </w:rPr>
        <w:t>(lichte voertuigen)</w:t>
      </w:r>
    </w:p>
    <w:p w14:paraId="2D97C159" w14:textId="77777777" w:rsidR="004B5A3C" w:rsidRDefault="004B5A3C" w:rsidP="00070B51">
      <w:r>
        <w:t xml:space="preserve">Een laadpunt dat is opengesteld voor publiek, op een private locatie. Dit kan bijvoorbeeld bij parkeergarages, tankstations of bij </w:t>
      </w:r>
      <w:proofErr w:type="spellStart"/>
      <w:r>
        <w:t>retail</w:t>
      </w:r>
      <w:proofErr w:type="spellEnd"/>
      <w:r>
        <w:t>- en horecalocaties zijn. Er gelden beperkingen, qua toegangstijden en bijvoorbeeld de vereiste om bepaalde producten/diensten af te nemen.</w:t>
      </w:r>
    </w:p>
    <w:p w14:paraId="31E13AE4" w14:textId="199B6EC9" w:rsidR="004B5A3C" w:rsidRPr="00697C0E" w:rsidRDefault="004B5A3C" w:rsidP="00070B51">
      <w:r w:rsidRPr="00697C0E">
        <w:t xml:space="preserve">Een regulier laadpunt heeft een vermogen t/m </w:t>
      </w:r>
      <w:r w:rsidR="00D23595">
        <w:t>50</w:t>
      </w:r>
      <w:r w:rsidRPr="00697C0E">
        <w:t xml:space="preserve"> kW</w:t>
      </w:r>
    </w:p>
    <w:p w14:paraId="3B60F418" w14:textId="77777777" w:rsidR="00B76C11" w:rsidRDefault="00B76C11" w:rsidP="00070B51">
      <w:pPr>
        <w:rPr>
          <w:rStyle w:val="Kop3Char"/>
        </w:rPr>
      </w:pPr>
    </w:p>
    <w:p w14:paraId="289D0237" w14:textId="436B6917" w:rsidR="004B5A3C" w:rsidRPr="00F40F4B" w:rsidRDefault="004B5A3C" w:rsidP="00070B51">
      <w:proofErr w:type="spellStart"/>
      <w:r>
        <w:rPr>
          <w:rStyle w:val="Kop3Char"/>
        </w:rPr>
        <w:t>Snellaadpunten</w:t>
      </w:r>
      <w:proofErr w:type="spellEnd"/>
      <w:r>
        <w:rPr>
          <w:rStyle w:val="Kop3Char"/>
        </w:rPr>
        <w:t xml:space="preserve"> </w:t>
      </w:r>
      <w:r w:rsidRPr="00B76C11">
        <w:rPr>
          <w:rStyle w:val="Kop3Char"/>
          <w:b w:val="0"/>
          <w:bCs/>
        </w:rPr>
        <w:t>(lichte voertuigen)</w:t>
      </w:r>
      <w:r>
        <w:rPr>
          <w:rStyle w:val="Kop3Char"/>
        </w:rPr>
        <w:br/>
      </w:r>
      <w:r w:rsidRPr="00F40F4B">
        <w:t xml:space="preserve">Een </w:t>
      </w:r>
      <w:proofErr w:type="spellStart"/>
      <w:r w:rsidRPr="00F40F4B">
        <w:t>snellaadpunt</w:t>
      </w:r>
      <w:proofErr w:type="spellEnd"/>
      <w:r w:rsidRPr="00F40F4B">
        <w:t xml:space="preserve"> heeft een vermogen &gt; </w:t>
      </w:r>
      <w:r w:rsidR="00D23595">
        <w:t>50 kW</w:t>
      </w:r>
      <w:r>
        <w:t xml:space="preserve"> en kan zowel publiek als </w:t>
      </w:r>
      <w:proofErr w:type="spellStart"/>
      <w:r>
        <w:t>semi-publiek</w:t>
      </w:r>
      <w:proofErr w:type="spellEnd"/>
      <w:r>
        <w:t xml:space="preserve"> zijn. De volgende categorieën worden gerapporteerd.</w:t>
      </w:r>
    </w:p>
    <w:p w14:paraId="2A6AB31A" w14:textId="77777777" w:rsidR="004B5A3C" w:rsidRPr="000502E0" w:rsidRDefault="004B5A3C" w:rsidP="00070B51">
      <w:pPr>
        <w:pStyle w:val="Geenafstand"/>
        <w:numPr>
          <w:ilvl w:val="0"/>
          <w:numId w:val="7"/>
        </w:numPr>
        <w:rPr>
          <w:rFonts w:asciiTheme="majorHAnsi" w:eastAsiaTheme="majorEastAsia" w:hAnsiTheme="majorHAnsi" w:cstheme="majorBidi"/>
          <w:b/>
          <w:bCs/>
          <w:color w:val="1B4D70" w:themeColor="accent1" w:themeShade="7F"/>
          <w:sz w:val="24"/>
          <w:szCs w:val="24"/>
        </w:rPr>
      </w:pPr>
      <w:proofErr w:type="spellStart"/>
      <w:r w:rsidRPr="000502E0">
        <w:rPr>
          <w:b/>
          <w:bCs/>
        </w:rPr>
        <w:t>Snellaadpunten</w:t>
      </w:r>
      <w:proofErr w:type="spellEnd"/>
    </w:p>
    <w:p w14:paraId="5A65ABFC" w14:textId="77777777" w:rsidR="004B5A3C" w:rsidRDefault="004B5A3C" w:rsidP="00070B51">
      <w:pPr>
        <w:pStyle w:val="Geenafstand"/>
        <w:ind w:left="720"/>
      </w:pPr>
      <w:r w:rsidRPr="00F40F4B">
        <w:t>Hier kan 1 voertuig tegelijk aan het laadpunt laden.</w:t>
      </w:r>
    </w:p>
    <w:p w14:paraId="0983BD97" w14:textId="77777777" w:rsidR="004B5A3C" w:rsidRPr="000502E0" w:rsidRDefault="004B5A3C" w:rsidP="00070B51">
      <w:pPr>
        <w:pStyle w:val="Geenafstand"/>
        <w:numPr>
          <w:ilvl w:val="0"/>
          <w:numId w:val="7"/>
        </w:numPr>
        <w:rPr>
          <w:b/>
          <w:bCs/>
        </w:rPr>
      </w:pPr>
      <w:proofErr w:type="spellStart"/>
      <w:r w:rsidRPr="000502E0">
        <w:rPr>
          <w:b/>
          <w:bCs/>
        </w:rPr>
        <w:t>Snellaadlocaties</w:t>
      </w:r>
      <w:proofErr w:type="spellEnd"/>
    </w:p>
    <w:p w14:paraId="1E0CF192" w14:textId="1DAF79CD" w:rsidR="004B5A3C" w:rsidRDefault="004B5A3C" w:rsidP="00070B51">
      <w:pPr>
        <w:pStyle w:val="Geenafstand"/>
        <w:ind w:left="720"/>
      </w:pPr>
      <w:r>
        <w:t>Een locatie met een of meer laadstations met daarbij behorende laadplekken/laad-parkeervakken. Belangrijk</w:t>
      </w:r>
      <w:r w:rsidR="005A06C5">
        <w:t>e</w:t>
      </w:r>
      <w:r>
        <w:t xml:space="preserve"> elementen in de definitie</w:t>
      </w:r>
      <w:r w:rsidR="005A06C5">
        <w:t xml:space="preserve"> zijn</w:t>
      </w:r>
      <w:r>
        <w:t>: Terrein met één adres / op één GPS-locatie; Eén Charge Point Operator</w:t>
      </w:r>
    </w:p>
    <w:p w14:paraId="065BFD4D" w14:textId="77777777" w:rsidR="004B5A3C" w:rsidRPr="00F40F4B" w:rsidRDefault="004B5A3C" w:rsidP="00070B51">
      <w:pPr>
        <w:pStyle w:val="Geenafstand"/>
        <w:ind w:left="720"/>
      </w:pPr>
    </w:p>
    <w:p w14:paraId="27694BBD" w14:textId="026FA070" w:rsidR="004B5A3C" w:rsidRPr="00B4657B" w:rsidRDefault="004B5A3C" w:rsidP="00070B51">
      <w:pPr>
        <w:pStyle w:val="Kop2"/>
        <w:spacing w:before="0" w:after="0"/>
      </w:pPr>
      <w:r w:rsidRPr="00B4657B">
        <w:t>Ratio</w:t>
      </w:r>
    </w:p>
    <w:p w14:paraId="5D8ADFEF" w14:textId="77777777" w:rsidR="00070B51" w:rsidRDefault="00070B51" w:rsidP="00070B51"/>
    <w:p w14:paraId="0D8B50D4" w14:textId="0877231E" w:rsidR="004B5A3C" w:rsidRDefault="004B5A3C" w:rsidP="00070B51">
      <w:r>
        <w:t xml:space="preserve">Het aantal voertuigen per laadpunt kan op verschillende manieren worden uitgedrukt. </w:t>
      </w:r>
    </w:p>
    <w:p w14:paraId="34A88D36" w14:textId="77777777" w:rsidR="004B5A3C" w:rsidRDefault="004B5A3C" w:rsidP="00070B51">
      <w:pPr>
        <w:pStyle w:val="Lijstalinea"/>
        <w:numPr>
          <w:ilvl w:val="0"/>
          <w:numId w:val="4"/>
        </w:numPr>
        <w:spacing w:line="259" w:lineRule="auto"/>
      </w:pPr>
      <w:r>
        <w:t>Aantal stekkerauto’s (volledig elektrisch + Plug-in hybride) per regulier publiek laadpunt</w:t>
      </w:r>
    </w:p>
    <w:p w14:paraId="413E334C" w14:textId="77777777" w:rsidR="004B5A3C" w:rsidRDefault="004B5A3C" w:rsidP="00070B51">
      <w:pPr>
        <w:pStyle w:val="Lijstalinea"/>
        <w:numPr>
          <w:ilvl w:val="0"/>
          <w:numId w:val="4"/>
        </w:numPr>
        <w:spacing w:line="259" w:lineRule="auto"/>
      </w:pPr>
      <w:r>
        <w:t xml:space="preserve">Aantal stekkerauto’s (volledig elektrisch + Plug-in hybride) per laadpunt (publieke laadpunten, </w:t>
      </w:r>
      <w:proofErr w:type="spellStart"/>
      <w:r>
        <w:t>semi-publieke</w:t>
      </w:r>
      <w:proofErr w:type="spellEnd"/>
      <w:r>
        <w:t xml:space="preserve"> laadpunten en </w:t>
      </w:r>
      <w:proofErr w:type="spellStart"/>
      <w:r>
        <w:t>snelladers</w:t>
      </w:r>
      <w:proofErr w:type="spellEnd"/>
      <w:r>
        <w:t>)</w:t>
      </w:r>
    </w:p>
    <w:p w14:paraId="0A42CCEB" w14:textId="77777777" w:rsidR="004B5A3C" w:rsidRDefault="004B5A3C" w:rsidP="00070B51">
      <w:pPr>
        <w:pStyle w:val="Lijstalinea"/>
        <w:numPr>
          <w:ilvl w:val="0"/>
          <w:numId w:val="4"/>
        </w:numPr>
        <w:spacing w:line="259" w:lineRule="auto"/>
      </w:pPr>
      <w:r>
        <w:t xml:space="preserve">Aantal stekkerauto’s (volledig elektrisch + Plug-in hybride) per laadpunt (publieke laadpunten, </w:t>
      </w:r>
      <w:proofErr w:type="spellStart"/>
      <w:r>
        <w:t>semi-publieke</w:t>
      </w:r>
      <w:proofErr w:type="spellEnd"/>
      <w:r>
        <w:t xml:space="preserve"> laadpunten, </w:t>
      </w:r>
      <w:proofErr w:type="spellStart"/>
      <w:r>
        <w:t>snelladers</w:t>
      </w:r>
      <w:proofErr w:type="spellEnd"/>
      <w:r>
        <w:t xml:space="preserve"> en thuislaadpunten)</w:t>
      </w:r>
    </w:p>
    <w:p w14:paraId="4A236572" w14:textId="77777777" w:rsidR="00070B51" w:rsidRDefault="00070B51" w:rsidP="00070B51"/>
    <w:p w14:paraId="3FBC12D6" w14:textId="4AFA16BF" w:rsidR="004B5A3C" w:rsidRDefault="004B5A3C" w:rsidP="00070B51">
      <w:r>
        <w:t xml:space="preserve">Het aantal stekkerauto’s per regulier publiek laadpunt geeft een indicatie van de ‘ruimte’ in het publieke netwerk. De verhouding tussen het aantal publieke en </w:t>
      </w:r>
      <w:proofErr w:type="spellStart"/>
      <w:r>
        <w:t>semi-publieke</w:t>
      </w:r>
      <w:proofErr w:type="spellEnd"/>
      <w:r>
        <w:t xml:space="preserve"> laadpunten (incl. </w:t>
      </w:r>
      <w:proofErr w:type="spellStart"/>
      <w:r>
        <w:t>snelladers</w:t>
      </w:r>
      <w:proofErr w:type="spellEnd"/>
      <w:r>
        <w:t xml:space="preserve">) geeft een </w:t>
      </w:r>
      <w:r w:rsidR="00070B51">
        <w:t>algeheel</w:t>
      </w:r>
      <w:r>
        <w:t xml:space="preserve"> beeld van de druk op het publiek toegankelijke netwerk. Het beste beeld wordt geschetst als ook de thuislaadpunten kunnen worden meegenomen in de ratio. Maar dat brengt ook wat onzekerheid met zich mee, aangezien het aantal thuislaadpunten op een onderbouwde schatting is gebaseerd en niet exact kan worden gemeten. </w:t>
      </w:r>
    </w:p>
    <w:p w14:paraId="67A382C6" w14:textId="77777777" w:rsidR="00070B51" w:rsidRDefault="00070B51" w:rsidP="00070B51">
      <w:pPr>
        <w:rPr>
          <w:u w:val="single"/>
        </w:rPr>
      </w:pPr>
    </w:p>
    <w:p w14:paraId="2D2B6FD0" w14:textId="797BF019" w:rsidR="004B5A3C" w:rsidRPr="00ED3700" w:rsidRDefault="004B5A3C" w:rsidP="00070B51">
      <w:pPr>
        <w:rPr>
          <w:u w:val="single"/>
        </w:rPr>
      </w:pPr>
    </w:p>
    <w:p w14:paraId="766D50C1" w14:textId="5552D15C" w:rsidR="004B5A3C" w:rsidRDefault="004B5A3C" w:rsidP="00070B51">
      <w:pPr>
        <w:spacing w:line="240" w:lineRule="auto"/>
        <w:contextualSpacing/>
      </w:pPr>
      <w:r>
        <w:rPr>
          <w:rFonts w:cstheme="minorHAnsi"/>
        </w:rPr>
        <w:t xml:space="preserve">De verdeling tussen de provincies is gebaseerd op een jaarlijks ijkpunt: vanaf 1 januari 2020 is jaarlijks een verdeling van de voertuigen over de provincies opgesteld door het CBS. Deze verdeling wordt vervolgens per maand geëxtrapoleerd, met de aanname dat de verdeling tussen de provincies gedurende het jaar niet </w:t>
      </w:r>
      <w:r w:rsidR="005A06C5">
        <w:rPr>
          <w:rFonts w:cstheme="minorHAnsi"/>
        </w:rPr>
        <w:t>(</w:t>
      </w:r>
      <w:r>
        <w:rPr>
          <w:rFonts w:cstheme="minorHAnsi"/>
        </w:rPr>
        <w:t>veel</w:t>
      </w:r>
      <w:r w:rsidR="005A06C5">
        <w:rPr>
          <w:rFonts w:cstheme="minorHAnsi"/>
        </w:rPr>
        <w:t>)</w:t>
      </w:r>
      <w:r>
        <w:rPr>
          <w:rFonts w:cstheme="minorHAnsi"/>
        </w:rPr>
        <w:t xml:space="preserve"> verandert. De rapportages van het CBS zijn te vinden op </w:t>
      </w:r>
      <w:hyperlink r:id="rId9" w:history="1">
        <w:r w:rsidRPr="00070B51">
          <w:rPr>
            <w:rStyle w:val="Hyperlink"/>
            <w:color w:val="0070C0"/>
          </w:rPr>
          <w:t>Elektrisch rijden (rvo.nl)</w:t>
        </w:r>
      </w:hyperlink>
    </w:p>
    <w:p w14:paraId="5AC00648" w14:textId="77777777" w:rsidR="004B5A3C" w:rsidRDefault="004B5A3C" w:rsidP="00070B51"/>
    <w:p w14:paraId="13BDCFE6" w14:textId="07F343EF" w:rsidR="004B5A3C" w:rsidRDefault="004B5A3C" w:rsidP="00070B51">
      <w:pPr>
        <w:pStyle w:val="Kop2"/>
        <w:spacing w:before="0" w:after="0"/>
      </w:pPr>
      <w:r>
        <w:t>Landelijk dekkend netwerk</w:t>
      </w:r>
    </w:p>
    <w:p w14:paraId="0E298B07" w14:textId="77777777" w:rsidR="00070B51" w:rsidRDefault="00070B51" w:rsidP="00070B51">
      <w:pPr>
        <w:pStyle w:val="Kop3"/>
        <w:spacing w:before="0"/>
      </w:pPr>
    </w:p>
    <w:p w14:paraId="73DD78ED" w14:textId="33BDA9D8" w:rsidR="004B5A3C" w:rsidRPr="002B273A" w:rsidRDefault="004B5A3C" w:rsidP="00070B51">
      <w:pPr>
        <w:pStyle w:val="Kop3"/>
        <w:spacing w:before="0"/>
      </w:pPr>
      <w:r>
        <w:t>Wat is het landelijk dekkend netwerk - theorie</w:t>
      </w:r>
    </w:p>
    <w:p w14:paraId="12751C27" w14:textId="443067A8" w:rsidR="004B5A3C" w:rsidRPr="00031E97" w:rsidRDefault="005A06C5" w:rsidP="00070B51">
      <w:pPr>
        <w:spacing w:line="300" w:lineRule="exact"/>
        <w:rPr>
          <w:rFonts w:cstheme="minorHAnsi"/>
        </w:rPr>
      </w:pPr>
      <w:r>
        <w:rPr>
          <w:rFonts w:cstheme="minorHAnsi"/>
        </w:rPr>
        <w:t>Het</w:t>
      </w:r>
      <w:r w:rsidR="004B5A3C" w:rsidRPr="00031E97">
        <w:rPr>
          <w:rFonts w:cstheme="minorHAnsi"/>
        </w:rPr>
        <w:t xml:space="preserve"> landelijk dekkende netwerk </w:t>
      </w:r>
      <w:r>
        <w:rPr>
          <w:rFonts w:cstheme="minorHAnsi"/>
        </w:rPr>
        <w:t xml:space="preserve">is gedefinieerd om te kunnen meten </w:t>
      </w:r>
      <w:r w:rsidR="004B5A3C" w:rsidRPr="00031E97">
        <w:rPr>
          <w:rFonts w:cstheme="minorHAnsi"/>
        </w:rPr>
        <w:t>of het netwerk van laadinfrastructuur voldoende laadzekerheid biedt aan elektrische rijders. Op die manier vormt laden geen drempel om elektrisch te gaan rijden. De definitie kent de volgende uitgangspunten:</w:t>
      </w:r>
    </w:p>
    <w:p w14:paraId="31C5C7FB" w14:textId="77777777" w:rsidR="004B5A3C" w:rsidRPr="00031E97" w:rsidRDefault="004B5A3C" w:rsidP="00070B51">
      <w:pPr>
        <w:pStyle w:val="Lijstalinea"/>
        <w:numPr>
          <w:ilvl w:val="0"/>
          <w:numId w:val="8"/>
        </w:numPr>
        <w:spacing w:line="300" w:lineRule="exact"/>
        <w:ind w:left="426" w:hanging="426"/>
        <w:rPr>
          <w:rFonts w:cstheme="minorHAnsi"/>
        </w:rPr>
      </w:pPr>
      <w:r w:rsidRPr="00031E97">
        <w:rPr>
          <w:rFonts w:cstheme="minorHAnsi"/>
        </w:rPr>
        <w:t>Focus ligt op het laden op de bestemming van elektrische rijders, dat zijn de plekken waar elektrische rijders langer verblijven (zoals woon- en werklocaties);</w:t>
      </w:r>
    </w:p>
    <w:p w14:paraId="0B95AA6C" w14:textId="77777777" w:rsidR="004B5A3C" w:rsidRPr="00031E97" w:rsidRDefault="004B5A3C" w:rsidP="00070B51">
      <w:pPr>
        <w:pStyle w:val="Lijstalinea"/>
        <w:numPr>
          <w:ilvl w:val="0"/>
          <w:numId w:val="8"/>
        </w:numPr>
        <w:spacing w:line="300" w:lineRule="exact"/>
        <w:ind w:left="426" w:hanging="426"/>
        <w:rPr>
          <w:rFonts w:cstheme="minorHAnsi"/>
        </w:rPr>
      </w:pPr>
      <w:r w:rsidRPr="00031E97">
        <w:rPr>
          <w:rFonts w:cstheme="minorHAnsi"/>
        </w:rPr>
        <w:t xml:space="preserve">De definitie meet de dekking en laadzekerheid af aan de beschikbare publieke laadinfrastructuur. De publieke laadinfrastructuur is een betrouwbare indicator omdat de gebruiksdata in publieke handen is. </w:t>
      </w:r>
    </w:p>
    <w:p w14:paraId="07B7BA98" w14:textId="77777777" w:rsidR="004B5A3C" w:rsidRPr="00031E97" w:rsidRDefault="004B5A3C" w:rsidP="00070B51">
      <w:pPr>
        <w:pStyle w:val="Lijstalinea"/>
        <w:numPr>
          <w:ilvl w:val="0"/>
          <w:numId w:val="8"/>
        </w:numPr>
        <w:spacing w:line="300" w:lineRule="exact"/>
        <w:ind w:left="426" w:hanging="426"/>
        <w:rPr>
          <w:rFonts w:cstheme="minorHAnsi"/>
        </w:rPr>
      </w:pPr>
      <w:r w:rsidRPr="00031E97">
        <w:rPr>
          <w:rFonts w:cstheme="minorHAnsi"/>
        </w:rPr>
        <w:t xml:space="preserve">De ontwikkeling van een landelijk netwerk is fijnmazig. Laden in de buurt van een bestemming betekent dat het laadpunt zich op loopafstand van de bestemming bevindt . Hiervoor maakt de definitie gebruik van het </w:t>
      </w:r>
      <w:r w:rsidRPr="00031E97">
        <w:rPr>
          <w:rFonts w:cstheme="minorHAnsi"/>
          <w:b/>
          <w:bCs/>
        </w:rPr>
        <w:t>CBS-raster van 500 bij 500 meter</w:t>
      </w:r>
      <w:r w:rsidRPr="00031E97">
        <w:rPr>
          <w:rFonts w:cstheme="minorHAnsi"/>
        </w:rPr>
        <w:t xml:space="preserve">. Dit raster is door het CBS vastgelegd en het is mogelijk om op de rastervelden gegevens te alloceren. Zo is er bijvoorbeeld informatie over demografische informatie en laadpunten per </w:t>
      </w:r>
      <w:proofErr w:type="spellStart"/>
      <w:r w:rsidRPr="00031E97">
        <w:rPr>
          <w:rFonts w:cstheme="minorHAnsi"/>
        </w:rPr>
        <w:t>rastercel</w:t>
      </w:r>
      <w:proofErr w:type="spellEnd"/>
      <w:r w:rsidRPr="00031E97">
        <w:rPr>
          <w:rFonts w:cstheme="minorHAnsi"/>
        </w:rPr>
        <w:t>.</w:t>
      </w:r>
    </w:p>
    <w:p w14:paraId="2E7E0607" w14:textId="77777777" w:rsidR="004B5A3C" w:rsidRPr="00277CCC" w:rsidRDefault="004B5A3C" w:rsidP="00070B51">
      <w:pPr>
        <w:pStyle w:val="Lijstalinea"/>
        <w:spacing w:line="300" w:lineRule="exact"/>
        <w:ind w:left="426"/>
        <w:rPr>
          <w:rFonts w:cstheme="minorHAnsi"/>
          <w:sz w:val="20"/>
          <w:szCs w:val="20"/>
        </w:rPr>
      </w:pPr>
    </w:p>
    <w:p w14:paraId="33BA05D9" w14:textId="77777777" w:rsidR="004B5A3C" w:rsidRDefault="004B5A3C" w:rsidP="00070B51">
      <w:pPr>
        <w:spacing w:line="300" w:lineRule="exact"/>
        <w:rPr>
          <w:rFonts w:asciiTheme="majorHAnsi" w:eastAsiaTheme="majorEastAsia" w:hAnsiTheme="majorHAnsi" w:cstheme="majorBidi"/>
          <w:color w:val="1B4D70" w:themeColor="accent1" w:themeShade="7F"/>
          <w:sz w:val="24"/>
          <w:szCs w:val="24"/>
        </w:rPr>
      </w:pPr>
      <w:r>
        <w:rPr>
          <w:rFonts w:asciiTheme="majorHAnsi" w:eastAsiaTheme="majorEastAsia" w:hAnsiTheme="majorHAnsi" w:cstheme="majorBidi"/>
          <w:color w:val="1B4D70" w:themeColor="accent1" w:themeShade="7F"/>
          <w:sz w:val="24"/>
          <w:szCs w:val="24"/>
        </w:rPr>
        <w:t>D</w:t>
      </w:r>
      <w:r w:rsidRPr="00FF61DE">
        <w:rPr>
          <w:rFonts w:asciiTheme="majorHAnsi" w:eastAsiaTheme="majorEastAsia" w:hAnsiTheme="majorHAnsi" w:cstheme="majorBidi"/>
          <w:color w:val="1B4D70" w:themeColor="accent1" w:themeShade="7F"/>
          <w:sz w:val="24"/>
          <w:szCs w:val="24"/>
        </w:rPr>
        <w:t>efinitie</w:t>
      </w:r>
      <w:bookmarkStart w:id="2" w:name="_Hlk128647666"/>
    </w:p>
    <w:p w14:paraId="027F1E5E" w14:textId="77777777" w:rsidR="004B5A3C" w:rsidRPr="00FF61DE" w:rsidRDefault="004B5A3C" w:rsidP="00070B51">
      <w:pPr>
        <w:spacing w:line="300" w:lineRule="exact"/>
        <w:rPr>
          <w:rFonts w:asciiTheme="majorHAnsi" w:eastAsiaTheme="majorEastAsia" w:hAnsiTheme="majorHAnsi" w:cstheme="majorBidi"/>
          <w:color w:val="1B4D70" w:themeColor="accent1" w:themeShade="7F"/>
          <w:sz w:val="24"/>
          <w:szCs w:val="24"/>
        </w:rPr>
      </w:pPr>
      <w:r w:rsidRPr="00FF61DE">
        <w:rPr>
          <w:rFonts w:cstheme="minorHAnsi"/>
        </w:rPr>
        <w:t xml:space="preserve">Het </w:t>
      </w:r>
      <w:r w:rsidRPr="00FF61DE">
        <w:rPr>
          <w:rFonts w:cstheme="minorHAnsi"/>
          <w:b/>
          <w:bCs/>
        </w:rPr>
        <w:t>basisnetwerk</w:t>
      </w:r>
      <w:r w:rsidRPr="00FF61DE">
        <w:rPr>
          <w:rFonts w:cstheme="minorHAnsi"/>
        </w:rPr>
        <w:t>: Op elke locatie waar publiek laden op bestemming voor de hand ligt is een laadpunt aanwezig. Vertaald naar de CBS-rastercellen betekent dit dat er ten minste één publiek laadpunt in de cel aanwezig dient te zijn indien de cel 125 huishoudens of meer heeft. Dit komt overeen met een stedelijkheidsklasse van 4 of lager. Deze ondergrens volgt uit een analyse van verschillende stedelijke en landelijke gebieden waarop verschillende criteria zijn getoetst. Landelijk gebied met stedelijkheidsklasse 5 is hierbij uitgesloten, hier is in veruit de meeste gevallen sprake van laden op eigen terrein. Kleinere dorpskernen maken wel onderdeel uit van deze definitie. Zo wordt gestuurd op laadpunten op locaties waar daadwerkelijk behoefte is of komt.</w:t>
      </w:r>
    </w:p>
    <w:bookmarkEnd w:id="2"/>
    <w:p w14:paraId="61BCA907" w14:textId="77777777" w:rsidR="004B5A3C" w:rsidRPr="00031E97" w:rsidRDefault="004B5A3C" w:rsidP="00070B51">
      <w:pPr>
        <w:spacing w:line="300" w:lineRule="exact"/>
        <w:rPr>
          <w:rFonts w:cstheme="minorHAnsi"/>
        </w:rPr>
      </w:pPr>
    </w:p>
    <w:p w14:paraId="1DAD6A2F" w14:textId="02510FF3" w:rsidR="004B5A3C" w:rsidRPr="00FF61DE" w:rsidRDefault="004B5A3C" w:rsidP="00070B51">
      <w:pPr>
        <w:spacing w:line="300" w:lineRule="exact"/>
        <w:rPr>
          <w:rFonts w:asciiTheme="majorHAnsi" w:eastAsiaTheme="majorEastAsia" w:hAnsiTheme="majorHAnsi" w:cstheme="majorBidi"/>
          <w:color w:val="1B4D70" w:themeColor="accent1" w:themeShade="7F"/>
          <w:sz w:val="24"/>
          <w:szCs w:val="24"/>
        </w:rPr>
      </w:pPr>
      <w:r w:rsidRPr="00FF61DE">
        <w:rPr>
          <w:rFonts w:asciiTheme="majorHAnsi" w:eastAsiaTheme="majorEastAsia" w:hAnsiTheme="majorHAnsi" w:cstheme="majorBidi"/>
          <w:color w:val="1B4D70" w:themeColor="accent1" w:themeShade="7F"/>
          <w:sz w:val="24"/>
          <w:szCs w:val="24"/>
        </w:rPr>
        <w:t>Toelichting bij kaart</w:t>
      </w:r>
    </w:p>
    <w:p w14:paraId="20CF4220" w14:textId="22B6E373" w:rsidR="004B5A3C" w:rsidRPr="00031E97" w:rsidRDefault="004B5A3C" w:rsidP="00070B51">
      <w:pPr>
        <w:spacing w:line="300" w:lineRule="exact"/>
        <w:rPr>
          <w:rFonts w:cstheme="minorHAnsi"/>
        </w:rPr>
      </w:pPr>
      <w:bookmarkStart w:id="3" w:name="_Hlk128647730"/>
      <w:r w:rsidRPr="00031E97">
        <w:rPr>
          <w:rFonts w:cstheme="minorHAnsi"/>
        </w:rPr>
        <w:t xml:space="preserve">Op basis van bovenstaande definitie wordt ook een </w:t>
      </w:r>
      <w:r w:rsidR="00B76C11">
        <w:rPr>
          <w:rFonts w:cstheme="minorHAnsi"/>
        </w:rPr>
        <w:t>interactieve kaart</w:t>
      </w:r>
      <w:r w:rsidRPr="00031E97">
        <w:rPr>
          <w:rFonts w:cstheme="minorHAnsi"/>
        </w:rPr>
        <w:t xml:space="preserve"> gepresenteerd. Deze kaart wordt ieder kwartaal geüpdatet. De witte vlekken zijn de vierkanten met stedelijkheidsklasse 4 of lager waarin geen publieke laadpunten staan. De groen gevulde vierkanten zijn voorzien van een publiek (en in sommige gevallen ook een </w:t>
      </w:r>
      <w:proofErr w:type="spellStart"/>
      <w:r w:rsidRPr="00031E97">
        <w:rPr>
          <w:rFonts w:cstheme="minorHAnsi"/>
        </w:rPr>
        <w:t>semi-publiek</w:t>
      </w:r>
      <w:proofErr w:type="spellEnd"/>
      <w:r w:rsidRPr="00031E97">
        <w:rPr>
          <w:rFonts w:cstheme="minorHAnsi"/>
        </w:rPr>
        <w:t xml:space="preserve">) laadpunt. De blauwe vierkanten zijn alleen voorzien van een </w:t>
      </w:r>
      <w:proofErr w:type="spellStart"/>
      <w:r w:rsidRPr="00031E97">
        <w:rPr>
          <w:rFonts w:cstheme="minorHAnsi"/>
        </w:rPr>
        <w:t>semi-publiek</w:t>
      </w:r>
      <w:proofErr w:type="spellEnd"/>
      <w:r w:rsidRPr="00031E97">
        <w:rPr>
          <w:rFonts w:cstheme="minorHAnsi"/>
        </w:rPr>
        <w:t xml:space="preserve"> laadpunt, hier zou volgens de definitie ook nog een publiek laadpunt geplaatst moeten worden. ‘Grijze vlekken’ zijn de vierkanten met stedelijkheidsklasse 5 waarin geen publieke laadpunten staan</w:t>
      </w:r>
      <w:r w:rsidR="00B76C11">
        <w:rPr>
          <w:rFonts w:cstheme="minorHAnsi"/>
        </w:rPr>
        <w:t>, dit is volgens de definitie dus ook niet nodig</w:t>
      </w:r>
    </w:p>
    <w:bookmarkEnd w:id="3"/>
    <w:p w14:paraId="4A28902E" w14:textId="77777777" w:rsidR="004B5A3C" w:rsidRPr="00031E97" w:rsidRDefault="004B5A3C" w:rsidP="00070B51">
      <w:pPr>
        <w:spacing w:line="300" w:lineRule="exact"/>
        <w:rPr>
          <w:rFonts w:cstheme="minorHAnsi"/>
        </w:rPr>
      </w:pPr>
    </w:p>
    <w:p w14:paraId="1130044A" w14:textId="77777777" w:rsidR="004B5A3C" w:rsidRPr="00FF61DE" w:rsidRDefault="004B5A3C" w:rsidP="00070B51">
      <w:pPr>
        <w:spacing w:line="300" w:lineRule="exact"/>
        <w:rPr>
          <w:rFonts w:asciiTheme="majorHAnsi" w:eastAsiaTheme="majorEastAsia" w:hAnsiTheme="majorHAnsi" w:cstheme="majorBidi"/>
          <w:color w:val="1B4D70" w:themeColor="accent1" w:themeShade="7F"/>
          <w:sz w:val="24"/>
          <w:szCs w:val="24"/>
        </w:rPr>
      </w:pPr>
      <w:r w:rsidRPr="00FF61DE">
        <w:rPr>
          <w:rFonts w:asciiTheme="majorHAnsi" w:eastAsiaTheme="majorEastAsia" w:hAnsiTheme="majorHAnsi" w:cstheme="majorBidi"/>
          <w:color w:val="1B4D70" w:themeColor="accent1" w:themeShade="7F"/>
          <w:sz w:val="24"/>
          <w:szCs w:val="24"/>
        </w:rPr>
        <w:t>Disclaimer</w:t>
      </w:r>
    </w:p>
    <w:p w14:paraId="1E39C053" w14:textId="6F7346BB" w:rsidR="000D3290" w:rsidRPr="004B5A3C" w:rsidRDefault="004B5A3C" w:rsidP="00E97BB6">
      <w:pPr>
        <w:spacing w:line="300" w:lineRule="exact"/>
      </w:pPr>
      <w:bookmarkStart w:id="4" w:name="_Hlk128649485"/>
      <w:r w:rsidRPr="00031E97">
        <w:rPr>
          <w:rFonts w:cstheme="minorHAnsi"/>
        </w:rPr>
        <w:lastRenderedPageBreak/>
        <w:t xml:space="preserve">De vierkanten zijn met behulp van CBS-statistieken opgesteld. Het koppelen van de laadpunten aan de vierkanten gebeurt op basis van </w:t>
      </w:r>
      <w:proofErr w:type="spellStart"/>
      <w:r w:rsidRPr="00031E97">
        <w:rPr>
          <w:rFonts w:cstheme="minorHAnsi"/>
        </w:rPr>
        <w:t>Eco-movement</w:t>
      </w:r>
      <w:proofErr w:type="spellEnd"/>
      <w:r w:rsidRPr="00031E97">
        <w:rPr>
          <w:rFonts w:cstheme="minorHAnsi"/>
        </w:rPr>
        <w:t xml:space="preserve"> locatiedata. Fluctuaties komen in deze data weleens voor. Bijvoorbeeld als een laadpunt verplaatst is, defect is of om een andere reden ‘out of order’, dan kan het zijn dat een witte vlek ontstaat, die er de vorige keer nog niet was.</w:t>
      </w:r>
      <w:bookmarkEnd w:id="4"/>
    </w:p>
    <w:sectPr w:rsidR="000D3290" w:rsidRPr="004B5A3C" w:rsidSect="00FC7C99">
      <w:headerReference w:type="default" r:id="rId10"/>
      <w:footerReference w:type="default" r:id="rId11"/>
      <w:headerReference w:type="first" r:id="rId12"/>
      <w:footerReference w:type="first" r:id="rId13"/>
      <w:pgSz w:w="11907" w:h="16840" w:code="9"/>
      <w:pgMar w:top="2098" w:right="1418" w:bottom="1418"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4683" w14:textId="77777777" w:rsidR="00307F1D" w:rsidRDefault="00307F1D" w:rsidP="003661BC">
      <w:r>
        <w:separator/>
      </w:r>
    </w:p>
  </w:endnote>
  <w:endnote w:type="continuationSeparator" w:id="0">
    <w:p w14:paraId="6626828E" w14:textId="77777777" w:rsidR="00307F1D" w:rsidRDefault="00307F1D" w:rsidP="0036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8"/>
      <w:gridCol w:w="8234"/>
    </w:tblGrid>
    <w:tr w:rsidR="000436F9" w14:paraId="10B386FA" w14:textId="77777777" w:rsidTr="00C52481">
      <w:tc>
        <w:tcPr>
          <w:tcW w:w="1333" w:type="dxa"/>
        </w:tcPr>
        <w:p w14:paraId="64B53088" w14:textId="77777777" w:rsidR="000436F9" w:rsidRDefault="00017C75">
          <w:pPr>
            <w:pStyle w:val="Voettekst"/>
          </w:pPr>
          <w:r>
            <w:rPr>
              <w:b w:val="0"/>
              <w:bCs/>
            </w:rPr>
            <w:fldChar w:fldCharType="begin"/>
          </w:r>
          <w:r>
            <w:rPr>
              <w:bCs/>
            </w:rPr>
            <w:instrText>PAGE  \* Arabic  \* MERGEFORMAT</w:instrText>
          </w:r>
          <w:r>
            <w:rPr>
              <w:b w:val="0"/>
              <w:bCs/>
            </w:rPr>
            <w:fldChar w:fldCharType="separate"/>
          </w:r>
          <w:r>
            <w:rPr>
              <w:bCs/>
            </w:rPr>
            <w:t>1</w:t>
          </w:r>
          <w:r>
            <w:rPr>
              <w:b w:val="0"/>
              <w:bCs/>
            </w:rPr>
            <w:fldChar w:fldCharType="end"/>
          </w:r>
          <w:r>
            <w:t xml:space="preserve"> / </w:t>
          </w:r>
          <w:r>
            <w:rPr>
              <w:b w:val="0"/>
              <w:bCs/>
            </w:rPr>
            <w:fldChar w:fldCharType="begin"/>
          </w:r>
          <w:r>
            <w:rPr>
              <w:bCs/>
            </w:rPr>
            <w:instrText>NUMPAGES  \* Arabic  \* MERGEFORMAT</w:instrText>
          </w:r>
          <w:r>
            <w:rPr>
              <w:b w:val="0"/>
              <w:bCs/>
            </w:rPr>
            <w:fldChar w:fldCharType="separate"/>
          </w:r>
          <w:r>
            <w:rPr>
              <w:bCs/>
            </w:rPr>
            <w:t>2</w:t>
          </w:r>
          <w:r>
            <w:rPr>
              <w:b w:val="0"/>
              <w:bCs/>
            </w:rPr>
            <w:fldChar w:fldCharType="end"/>
          </w:r>
        </w:p>
      </w:tc>
      <w:tc>
        <w:tcPr>
          <w:tcW w:w="13211" w:type="dxa"/>
        </w:tcPr>
        <w:p w14:paraId="1613CD31" w14:textId="77777777" w:rsidR="000436F9" w:rsidRDefault="00D23595">
          <w:pPr>
            <w:pStyle w:val="Voettekst"/>
          </w:pPr>
          <w:sdt>
            <w:sdtPr>
              <w:alias w:val="Titel"/>
              <w:tag w:val=""/>
              <w:id w:val="-1052388110"/>
              <w:placeholder>
                <w:docPart w:val="9EC78BCA837A4ABD9E1F949A1D97DAAE"/>
              </w:placeholder>
              <w:dataBinding w:prefixMappings="xmlns:ns0='http://purl.org/dc/elements/1.1/' xmlns:ns1='http://schemas.openxmlformats.org/package/2006/metadata/core-properties' " w:xpath="/ns1:coreProperties[1]/ns0:title[1]" w:storeItemID="{6C3C8BC8-F283-45AE-878A-BAB7291924A1}"/>
              <w:text/>
            </w:sdtPr>
            <w:sdtEndPr/>
            <w:sdtContent>
              <w:r w:rsidR="00017C75">
                <w:t>Memo</w:t>
              </w:r>
            </w:sdtContent>
          </w:sdt>
          <w:r w:rsidR="000436F9">
            <w:t xml:space="preserve">   |   </w:t>
          </w:r>
          <w:sdt>
            <w:sdtPr>
              <w:alias w:val="Onderwerp"/>
              <w:tag w:val=""/>
              <w:id w:val="-1233781828"/>
              <w:placeholder>
                <w:docPart w:val="E9E843A1064D4F4B92520D5BA626A249"/>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0436F9" w:rsidRPr="002F0997">
                <w:rPr>
                  <w:rStyle w:val="Tekstvantijdelijkeaanduiding"/>
                </w:rPr>
                <w:t>[Onderwerp]</w:t>
              </w:r>
            </w:sdtContent>
          </w:sdt>
        </w:p>
      </w:tc>
    </w:tr>
  </w:tbl>
  <w:p w14:paraId="524DE4CF" w14:textId="77777777" w:rsidR="000436F9" w:rsidRDefault="000436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4536"/>
    </w:tblGrid>
    <w:tr w:rsidR="00017C75" w14:paraId="2F304177" w14:textId="77777777" w:rsidTr="00017C75">
      <w:tc>
        <w:tcPr>
          <w:tcW w:w="4536" w:type="dxa"/>
          <w:vAlign w:val="bottom"/>
        </w:tcPr>
        <w:p w14:paraId="4654F75E" w14:textId="77777777" w:rsidR="00017C75" w:rsidRPr="00017C75" w:rsidRDefault="00D23595" w:rsidP="00017C75">
          <w:pPr>
            <w:pStyle w:val="Voettekst"/>
            <w:rPr>
              <w:bCs/>
              <w:color w:val="000000" w:themeColor="text1"/>
              <w:sz w:val="19"/>
              <w:szCs w:val="19"/>
            </w:rPr>
          </w:pPr>
          <w:hyperlink r:id="rId1" w:history="1">
            <w:r w:rsidR="00017C75" w:rsidRPr="00005780">
              <w:rPr>
                <w:rStyle w:val="Hyperlink"/>
                <w:bCs/>
                <w:sz w:val="19"/>
                <w:szCs w:val="19"/>
              </w:rPr>
              <w:t>www.agendalaadinfrastructuur.nl</w:t>
            </w:r>
          </w:hyperlink>
        </w:p>
      </w:tc>
      <w:tc>
        <w:tcPr>
          <w:tcW w:w="4536" w:type="dxa"/>
        </w:tcPr>
        <w:p w14:paraId="44A2A8BD" w14:textId="77777777" w:rsidR="00017C75" w:rsidRDefault="00017C75" w:rsidP="00017C75">
          <w:pPr>
            <w:pStyle w:val="Koptekst"/>
            <w:tabs>
              <w:tab w:val="right" w:pos="12643"/>
            </w:tabs>
            <w:jc w:val="right"/>
            <w:rPr>
              <w:noProof/>
            </w:rPr>
          </w:pPr>
          <w:r>
            <w:rPr>
              <w:noProof/>
            </w:rPr>
            <w:drawing>
              <wp:inline distT="0" distB="0" distL="0" distR="0" wp14:anchorId="7EEF13F2" wp14:editId="34DD256C">
                <wp:extent cx="1715735" cy="19710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840112" cy="211397"/>
                        </a:xfrm>
                        <a:prstGeom prst="rect">
                          <a:avLst/>
                        </a:prstGeom>
                      </pic:spPr>
                    </pic:pic>
                  </a:graphicData>
                </a:graphic>
              </wp:inline>
            </w:drawing>
          </w:r>
        </w:p>
      </w:tc>
    </w:tr>
  </w:tbl>
  <w:p w14:paraId="694C2DCC" w14:textId="77777777" w:rsidR="00232212" w:rsidRDefault="002322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D5B9" w14:textId="77777777" w:rsidR="00307F1D" w:rsidRDefault="00307F1D" w:rsidP="003661BC">
      <w:r>
        <w:separator/>
      </w:r>
    </w:p>
  </w:footnote>
  <w:footnote w:type="continuationSeparator" w:id="0">
    <w:p w14:paraId="1F742934" w14:textId="77777777" w:rsidR="00307F1D" w:rsidRDefault="00307F1D" w:rsidP="0036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3338" w14:textId="77777777" w:rsidR="00C52481" w:rsidRDefault="00C52481" w:rsidP="00C52481">
    <w:pPr>
      <w:pStyle w:val="Koptekst"/>
      <w:jc w:val="right"/>
    </w:pPr>
    <w:r>
      <w:rPr>
        <w:noProof/>
      </w:rPr>
      <w:drawing>
        <wp:inline distT="0" distB="0" distL="0" distR="0" wp14:anchorId="56803608" wp14:editId="0FA5C652">
          <wp:extent cx="1699200" cy="323336"/>
          <wp:effectExtent l="0" t="0" r="0" b="63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4464" b="34464"/>
                  <a:stretch/>
                </pic:blipFill>
                <pic:spPr bwMode="auto">
                  <a:xfrm>
                    <a:off x="0" y="0"/>
                    <a:ext cx="1699200" cy="32333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904A" w14:textId="77777777" w:rsidR="002330D3" w:rsidRDefault="002330D3" w:rsidP="00C52481">
    <w:pPr>
      <w:pStyle w:val="Koptekst"/>
      <w:jc w:val="right"/>
    </w:pPr>
    <w:r>
      <w:rPr>
        <w:noProof/>
      </w:rPr>
      <w:drawing>
        <wp:inline distT="0" distB="0" distL="0" distR="0" wp14:anchorId="65B60377" wp14:editId="12AFD79B">
          <wp:extent cx="2278800" cy="433627"/>
          <wp:effectExtent l="0" t="0" r="0" b="5080"/>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4464" b="34464"/>
                  <a:stretch/>
                </pic:blipFill>
                <pic:spPr bwMode="auto">
                  <a:xfrm>
                    <a:off x="0" y="0"/>
                    <a:ext cx="2278800" cy="4336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D2AEB98"/>
    <w:lvl w:ilvl="0">
      <w:start w:val="1"/>
      <w:numFmt w:val="decimal"/>
      <w:lvlText w:val="%1."/>
      <w:lvlJc w:val="left"/>
      <w:pPr>
        <w:tabs>
          <w:tab w:val="num" w:pos="360"/>
        </w:tabs>
        <w:ind w:left="360" w:hanging="360"/>
      </w:pPr>
    </w:lvl>
  </w:abstractNum>
  <w:abstractNum w:abstractNumId="1" w15:restartNumberingAfterBreak="0">
    <w:nsid w:val="17DF74F3"/>
    <w:multiLevelType w:val="hybridMultilevel"/>
    <w:tmpl w:val="5B867B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EF551E"/>
    <w:multiLevelType w:val="hybridMultilevel"/>
    <w:tmpl w:val="684E09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647035"/>
    <w:multiLevelType w:val="multilevel"/>
    <w:tmpl w:val="2ABEFE24"/>
    <w:styleLink w:val="LijstalineaNAL"/>
    <w:lvl w:ilvl="0">
      <w:start w:val="1"/>
      <w:numFmt w:val="bullet"/>
      <w:lvlText w:val="o"/>
      <w:lvlJc w:val="left"/>
      <w:pPr>
        <w:ind w:left="992" w:hanging="284"/>
      </w:pPr>
      <w:rPr>
        <w:rFonts w:ascii="Courier New" w:hAnsi="Courier New" w:cs="Courier New" w:hint="default"/>
        <w:color w:val="F06800" w:themeColor="accent2"/>
      </w:rPr>
    </w:lvl>
    <w:lvl w:ilvl="1">
      <w:start w:val="1"/>
      <w:numFmt w:val="bullet"/>
      <w:lvlText w:val="‒"/>
      <w:lvlJc w:val="left"/>
      <w:pPr>
        <w:ind w:left="1276" w:hanging="284"/>
      </w:pPr>
      <w:rPr>
        <w:rFonts w:ascii="Calibri" w:hAnsi="Calibri" w:hint="default"/>
        <w:color w:val="auto"/>
      </w:rPr>
    </w:lvl>
    <w:lvl w:ilvl="2">
      <w:start w:val="1"/>
      <w:numFmt w:val="bullet"/>
      <w:lvlText w:val="‐"/>
      <w:lvlJc w:val="left"/>
      <w:pPr>
        <w:ind w:left="1560" w:hanging="284"/>
      </w:pPr>
      <w:rPr>
        <w:rFonts w:ascii="Calibri" w:hAnsi="Calibri" w:hint="default"/>
        <w:color w:val="auto"/>
      </w:rPr>
    </w:lvl>
    <w:lvl w:ilvl="3">
      <w:start w:val="1"/>
      <w:numFmt w:val="bullet"/>
      <w:lvlText w:val="‐"/>
      <w:lvlJc w:val="left"/>
      <w:pPr>
        <w:ind w:left="1844" w:hanging="284"/>
      </w:pPr>
      <w:rPr>
        <w:rFonts w:ascii="Calibri" w:hAnsi="Calibri" w:hint="default"/>
        <w:color w:val="auto"/>
      </w:rPr>
    </w:lvl>
    <w:lvl w:ilvl="4">
      <w:start w:val="1"/>
      <w:numFmt w:val="bullet"/>
      <w:lvlText w:val="‐"/>
      <w:lvlJc w:val="left"/>
      <w:pPr>
        <w:ind w:left="2128" w:hanging="284"/>
      </w:pPr>
      <w:rPr>
        <w:rFonts w:ascii="Calibri" w:hAnsi="Calibri" w:hint="default"/>
        <w:color w:val="auto"/>
      </w:rPr>
    </w:lvl>
    <w:lvl w:ilvl="5">
      <w:start w:val="1"/>
      <w:numFmt w:val="bullet"/>
      <w:lvlText w:val="‐"/>
      <w:lvlJc w:val="left"/>
      <w:pPr>
        <w:ind w:left="2412" w:hanging="284"/>
      </w:pPr>
      <w:rPr>
        <w:rFonts w:ascii="Calibri" w:hAnsi="Calibri" w:hint="default"/>
        <w:color w:val="auto"/>
      </w:rPr>
    </w:lvl>
    <w:lvl w:ilvl="6">
      <w:start w:val="1"/>
      <w:numFmt w:val="bullet"/>
      <w:lvlText w:val="‐"/>
      <w:lvlJc w:val="left"/>
      <w:pPr>
        <w:ind w:left="2696" w:hanging="284"/>
      </w:pPr>
      <w:rPr>
        <w:rFonts w:ascii="Calibri" w:hAnsi="Calibri" w:hint="default"/>
        <w:color w:val="auto"/>
      </w:rPr>
    </w:lvl>
    <w:lvl w:ilvl="7">
      <w:start w:val="1"/>
      <w:numFmt w:val="bullet"/>
      <w:lvlText w:val="‐"/>
      <w:lvlJc w:val="left"/>
      <w:pPr>
        <w:ind w:left="2980" w:hanging="284"/>
      </w:pPr>
      <w:rPr>
        <w:rFonts w:ascii="Calibri" w:hAnsi="Calibri" w:hint="default"/>
        <w:color w:val="auto"/>
      </w:rPr>
    </w:lvl>
    <w:lvl w:ilvl="8">
      <w:start w:val="1"/>
      <w:numFmt w:val="bullet"/>
      <w:lvlText w:val="‐"/>
      <w:lvlJc w:val="left"/>
      <w:pPr>
        <w:ind w:left="3264" w:hanging="284"/>
      </w:pPr>
      <w:rPr>
        <w:rFonts w:ascii="Calibri" w:hAnsi="Calibri" w:hint="default"/>
        <w:color w:val="auto"/>
      </w:rPr>
    </w:lvl>
  </w:abstractNum>
  <w:abstractNum w:abstractNumId="4" w15:restartNumberingAfterBreak="0">
    <w:nsid w:val="289D3F31"/>
    <w:multiLevelType w:val="hybridMultilevel"/>
    <w:tmpl w:val="4662A7C2"/>
    <w:lvl w:ilvl="0" w:tplc="D6B466B2">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1C2C22"/>
    <w:multiLevelType w:val="hybridMultilevel"/>
    <w:tmpl w:val="E3D62B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9852C0B"/>
    <w:multiLevelType w:val="multilevel"/>
    <w:tmpl w:val="AC1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193EAA"/>
    <w:multiLevelType w:val="multilevel"/>
    <w:tmpl w:val="623C37B4"/>
    <w:styleLink w:val="LijstnummeringNAL"/>
    <w:lvl w:ilvl="0">
      <w:start w:val="1"/>
      <w:numFmt w:val="decimal"/>
      <w:pStyle w:val="Lijstnummering"/>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612F0553"/>
    <w:multiLevelType w:val="hybridMultilevel"/>
    <w:tmpl w:val="ED904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4200069">
    <w:abstractNumId w:val="3"/>
    <w:lvlOverride w:ilvl="0">
      <w:lvl w:ilvl="0">
        <w:start w:val="1"/>
        <w:numFmt w:val="bullet"/>
        <w:lvlText w:val="o"/>
        <w:lvlJc w:val="left"/>
        <w:pPr>
          <w:ind w:left="992" w:hanging="284"/>
        </w:pPr>
        <w:rPr>
          <w:rFonts w:ascii="Courier New" w:hAnsi="Courier New" w:cs="Courier New" w:hint="default"/>
          <w:color w:val="auto"/>
        </w:rPr>
      </w:lvl>
    </w:lvlOverride>
  </w:num>
  <w:num w:numId="2" w16cid:durableId="1077828860">
    <w:abstractNumId w:val="7"/>
  </w:num>
  <w:num w:numId="3" w16cid:durableId="1070151419">
    <w:abstractNumId w:val="0"/>
  </w:num>
  <w:num w:numId="4" w16cid:durableId="866067155">
    <w:abstractNumId w:val="5"/>
  </w:num>
  <w:num w:numId="5" w16cid:durableId="718045092">
    <w:abstractNumId w:val="8"/>
  </w:num>
  <w:num w:numId="6" w16cid:durableId="452480444">
    <w:abstractNumId w:val="1"/>
  </w:num>
  <w:num w:numId="7" w16cid:durableId="1664745723">
    <w:abstractNumId w:val="2"/>
  </w:num>
  <w:num w:numId="8" w16cid:durableId="970794265">
    <w:abstractNumId w:val="4"/>
  </w:num>
  <w:num w:numId="9" w16cid:durableId="1900021115">
    <w:abstractNumId w:val="3"/>
  </w:num>
  <w:num w:numId="10" w16cid:durableId="196897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BA"/>
    <w:rsid w:val="00005780"/>
    <w:rsid w:val="00017C75"/>
    <w:rsid w:val="00041F46"/>
    <w:rsid w:val="000436F9"/>
    <w:rsid w:val="00047128"/>
    <w:rsid w:val="00070B51"/>
    <w:rsid w:val="000B2EA7"/>
    <w:rsid w:val="000D0005"/>
    <w:rsid w:val="000D3290"/>
    <w:rsid w:val="000F553F"/>
    <w:rsid w:val="001313E6"/>
    <w:rsid w:val="00192A55"/>
    <w:rsid w:val="001F4C0A"/>
    <w:rsid w:val="00201F80"/>
    <w:rsid w:val="0021200D"/>
    <w:rsid w:val="00232212"/>
    <w:rsid w:val="002330D3"/>
    <w:rsid w:val="002414D1"/>
    <w:rsid w:val="00243830"/>
    <w:rsid w:val="00262259"/>
    <w:rsid w:val="0026432D"/>
    <w:rsid w:val="00291C5E"/>
    <w:rsid w:val="002A53B5"/>
    <w:rsid w:val="002A562F"/>
    <w:rsid w:val="002A5BEF"/>
    <w:rsid w:val="002A7405"/>
    <w:rsid w:val="002C68C9"/>
    <w:rsid w:val="002D69C6"/>
    <w:rsid w:val="002E3685"/>
    <w:rsid w:val="002E462E"/>
    <w:rsid w:val="002F2C29"/>
    <w:rsid w:val="003050BA"/>
    <w:rsid w:val="00307F1D"/>
    <w:rsid w:val="0031469C"/>
    <w:rsid w:val="003260CC"/>
    <w:rsid w:val="00330DEE"/>
    <w:rsid w:val="003661BC"/>
    <w:rsid w:val="003726C7"/>
    <w:rsid w:val="00375472"/>
    <w:rsid w:val="003C1EB9"/>
    <w:rsid w:val="003C7814"/>
    <w:rsid w:val="003D7622"/>
    <w:rsid w:val="003F1083"/>
    <w:rsid w:val="00405767"/>
    <w:rsid w:val="0044264B"/>
    <w:rsid w:val="00461B17"/>
    <w:rsid w:val="00473557"/>
    <w:rsid w:val="00486236"/>
    <w:rsid w:val="004B2222"/>
    <w:rsid w:val="004B5A3C"/>
    <w:rsid w:val="004C15E6"/>
    <w:rsid w:val="004E22D6"/>
    <w:rsid w:val="00505974"/>
    <w:rsid w:val="00513990"/>
    <w:rsid w:val="00534107"/>
    <w:rsid w:val="005562F4"/>
    <w:rsid w:val="00556C5C"/>
    <w:rsid w:val="0056490A"/>
    <w:rsid w:val="00567C5E"/>
    <w:rsid w:val="00571275"/>
    <w:rsid w:val="00596FF4"/>
    <w:rsid w:val="005A06C5"/>
    <w:rsid w:val="005A224C"/>
    <w:rsid w:val="005B30B9"/>
    <w:rsid w:val="005B52A3"/>
    <w:rsid w:val="005C2FC2"/>
    <w:rsid w:val="0060298A"/>
    <w:rsid w:val="0061310D"/>
    <w:rsid w:val="006132CC"/>
    <w:rsid w:val="00655344"/>
    <w:rsid w:val="006576A9"/>
    <w:rsid w:val="00661221"/>
    <w:rsid w:val="006A79A8"/>
    <w:rsid w:val="006C41AF"/>
    <w:rsid w:val="00762F5B"/>
    <w:rsid w:val="00795EF1"/>
    <w:rsid w:val="007B1F29"/>
    <w:rsid w:val="007F3C74"/>
    <w:rsid w:val="00803861"/>
    <w:rsid w:val="008303CF"/>
    <w:rsid w:val="00836FA1"/>
    <w:rsid w:val="00847668"/>
    <w:rsid w:val="00850E96"/>
    <w:rsid w:val="008534B3"/>
    <w:rsid w:val="008539C4"/>
    <w:rsid w:val="00880383"/>
    <w:rsid w:val="00891795"/>
    <w:rsid w:val="008E7CEC"/>
    <w:rsid w:val="00914832"/>
    <w:rsid w:val="00917227"/>
    <w:rsid w:val="009233EC"/>
    <w:rsid w:val="00950458"/>
    <w:rsid w:val="009579EE"/>
    <w:rsid w:val="00972011"/>
    <w:rsid w:val="009829FE"/>
    <w:rsid w:val="009B087D"/>
    <w:rsid w:val="009B1138"/>
    <w:rsid w:val="009F4268"/>
    <w:rsid w:val="00A126A6"/>
    <w:rsid w:val="00A641AB"/>
    <w:rsid w:val="00A80EB8"/>
    <w:rsid w:val="00A90459"/>
    <w:rsid w:val="00AA6B30"/>
    <w:rsid w:val="00AD56B8"/>
    <w:rsid w:val="00B00384"/>
    <w:rsid w:val="00B4657B"/>
    <w:rsid w:val="00B76C11"/>
    <w:rsid w:val="00B90304"/>
    <w:rsid w:val="00B97608"/>
    <w:rsid w:val="00BB399E"/>
    <w:rsid w:val="00BE5632"/>
    <w:rsid w:val="00C17DE6"/>
    <w:rsid w:val="00C30B3B"/>
    <w:rsid w:val="00C31403"/>
    <w:rsid w:val="00C43586"/>
    <w:rsid w:val="00C52481"/>
    <w:rsid w:val="00CB0422"/>
    <w:rsid w:val="00CB0579"/>
    <w:rsid w:val="00CB703C"/>
    <w:rsid w:val="00CD42F8"/>
    <w:rsid w:val="00CE780A"/>
    <w:rsid w:val="00D068E9"/>
    <w:rsid w:val="00D15F03"/>
    <w:rsid w:val="00D20694"/>
    <w:rsid w:val="00D23595"/>
    <w:rsid w:val="00D35918"/>
    <w:rsid w:val="00D455C4"/>
    <w:rsid w:val="00D63F66"/>
    <w:rsid w:val="00D64FC9"/>
    <w:rsid w:val="00D701E8"/>
    <w:rsid w:val="00D960A8"/>
    <w:rsid w:val="00DA3402"/>
    <w:rsid w:val="00DB3F67"/>
    <w:rsid w:val="00DD17B8"/>
    <w:rsid w:val="00DD6350"/>
    <w:rsid w:val="00DE223C"/>
    <w:rsid w:val="00DF44B7"/>
    <w:rsid w:val="00E16B46"/>
    <w:rsid w:val="00E27515"/>
    <w:rsid w:val="00E36E09"/>
    <w:rsid w:val="00E4607A"/>
    <w:rsid w:val="00E649A9"/>
    <w:rsid w:val="00E67840"/>
    <w:rsid w:val="00E718E7"/>
    <w:rsid w:val="00E779F8"/>
    <w:rsid w:val="00E86878"/>
    <w:rsid w:val="00E917E6"/>
    <w:rsid w:val="00E97BB6"/>
    <w:rsid w:val="00EA622B"/>
    <w:rsid w:val="00EC3CCA"/>
    <w:rsid w:val="00ED03A0"/>
    <w:rsid w:val="00EE2D9B"/>
    <w:rsid w:val="00EE2EF9"/>
    <w:rsid w:val="00EF31D2"/>
    <w:rsid w:val="00EF7899"/>
    <w:rsid w:val="00F1183B"/>
    <w:rsid w:val="00F17634"/>
    <w:rsid w:val="00F37D5D"/>
    <w:rsid w:val="00F651B7"/>
    <w:rsid w:val="00FA1549"/>
    <w:rsid w:val="00FA1F2A"/>
    <w:rsid w:val="00FA3C41"/>
    <w:rsid w:val="00FA3DBF"/>
    <w:rsid w:val="00FA6EE9"/>
    <w:rsid w:val="00FC7C99"/>
    <w:rsid w:val="00FD597F"/>
    <w:rsid w:val="00FF12B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CDFD9C"/>
  <w15:chartTrackingRefBased/>
  <w15:docId w15:val="{E335A286-0BBB-4CF9-A080-1CB5DA5D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3C41"/>
    <w:pPr>
      <w:spacing w:line="252" w:lineRule="auto"/>
    </w:pPr>
    <w:rPr>
      <w:spacing w:val="2"/>
    </w:rPr>
  </w:style>
  <w:style w:type="paragraph" w:styleId="Kop1">
    <w:name w:val="heading 1"/>
    <w:basedOn w:val="Standaard"/>
    <w:next w:val="Standaard"/>
    <w:link w:val="Kop1Char"/>
    <w:uiPriority w:val="9"/>
    <w:qFormat/>
    <w:rsid w:val="00FC7C99"/>
    <w:pPr>
      <w:keepNext/>
      <w:keepLines/>
      <w:spacing w:after="200"/>
      <w:outlineLvl w:val="0"/>
    </w:pPr>
    <w:rPr>
      <w:rFonts w:asciiTheme="majorHAnsi" w:eastAsiaTheme="majorEastAsia" w:hAnsiTheme="majorHAnsi" w:cstheme="majorBidi"/>
      <w:b/>
      <w:color w:val="469AD3" w:themeColor="accent1"/>
      <w:sz w:val="40"/>
      <w:szCs w:val="32"/>
    </w:rPr>
  </w:style>
  <w:style w:type="paragraph" w:styleId="Kop2">
    <w:name w:val="heading 2"/>
    <w:basedOn w:val="Standaard"/>
    <w:next w:val="Standaard"/>
    <w:link w:val="Kop2Char"/>
    <w:uiPriority w:val="9"/>
    <w:unhideWhenUsed/>
    <w:qFormat/>
    <w:rsid w:val="0044264B"/>
    <w:pPr>
      <w:keepNext/>
      <w:keepLines/>
      <w:spacing w:before="280" w:after="60"/>
      <w:outlineLvl w:val="1"/>
    </w:pPr>
    <w:rPr>
      <w:rFonts w:asciiTheme="majorHAnsi" w:eastAsiaTheme="majorEastAsia" w:hAnsiTheme="majorHAnsi" w:cstheme="majorBidi"/>
      <w:b/>
      <w:color w:val="233D5A" w:themeColor="accent3"/>
      <w:sz w:val="26"/>
      <w:szCs w:val="26"/>
    </w:rPr>
  </w:style>
  <w:style w:type="paragraph" w:styleId="Kop3">
    <w:name w:val="heading 3"/>
    <w:basedOn w:val="Standaard"/>
    <w:next w:val="Standaard"/>
    <w:link w:val="Kop3Char"/>
    <w:uiPriority w:val="9"/>
    <w:unhideWhenUsed/>
    <w:qFormat/>
    <w:rsid w:val="0044264B"/>
    <w:pPr>
      <w:keepNext/>
      <w:keepLines/>
      <w:spacing w:before="280"/>
      <w:outlineLvl w:val="2"/>
    </w:pPr>
    <w:rPr>
      <w:rFonts w:asciiTheme="majorHAnsi" w:eastAsiaTheme="majorEastAsia" w:hAnsiTheme="majorHAnsi" w:cstheme="majorBidi"/>
      <w:b/>
      <w:color w:val="469AD3" w:themeColor="accent1"/>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7C99"/>
    <w:rPr>
      <w:rFonts w:asciiTheme="majorHAnsi" w:eastAsiaTheme="majorEastAsia" w:hAnsiTheme="majorHAnsi" w:cstheme="majorBidi"/>
      <w:b/>
      <w:color w:val="469AD3" w:themeColor="accent1"/>
      <w:spacing w:val="2"/>
      <w:sz w:val="40"/>
      <w:szCs w:val="32"/>
    </w:rPr>
  </w:style>
  <w:style w:type="character" w:customStyle="1" w:styleId="Kop2Char">
    <w:name w:val="Kop 2 Char"/>
    <w:basedOn w:val="Standaardalinea-lettertype"/>
    <w:link w:val="Kop2"/>
    <w:uiPriority w:val="9"/>
    <w:rsid w:val="0044264B"/>
    <w:rPr>
      <w:rFonts w:asciiTheme="majorHAnsi" w:eastAsiaTheme="majorEastAsia" w:hAnsiTheme="majorHAnsi" w:cstheme="majorBidi"/>
      <w:b/>
      <w:color w:val="233D5A" w:themeColor="accent3"/>
      <w:spacing w:val="2"/>
      <w:sz w:val="26"/>
      <w:szCs w:val="26"/>
    </w:rPr>
  </w:style>
  <w:style w:type="paragraph" w:styleId="Koptekst">
    <w:name w:val="header"/>
    <w:basedOn w:val="Standaard"/>
    <w:link w:val="KoptekstChar"/>
    <w:uiPriority w:val="99"/>
    <w:unhideWhenUsed/>
    <w:rsid w:val="00486236"/>
  </w:style>
  <w:style w:type="character" w:customStyle="1" w:styleId="KoptekstChar">
    <w:name w:val="Koptekst Char"/>
    <w:basedOn w:val="Standaardalinea-lettertype"/>
    <w:link w:val="Koptekst"/>
    <w:uiPriority w:val="99"/>
    <w:rsid w:val="00486236"/>
  </w:style>
  <w:style w:type="paragraph" w:styleId="Voettekst">
    <w:name w:val="footer"/>
    <w:basedOn w:val="Standaard"/>
    <w:link w:val="VoettekstChar"/>
    <w:uiPriority w:val="99"/>
    <w:unhideWhenUsed/>
    <w:rsid w:val="00A90459"/>
    <w:pPr>
      <w:tabs>
        <w:tab w:val="center" w:pos="4536"/>
        <w:tab w:val="right" w:pos="9072"/>
      </w:tabs>
    </w:pPr>
    <w:rPr>
      <w:b/>
      <w:color w:val="999999" w:themeColor="accent4"/>
      <w:sz w:val="15"/>
    </w:rPr>
  </w:style>
  <w:style w:type="character" w:customStyle="1" w:styleId="VoettekstChar">
    <w:name w:val="Voettekst Char"/>
    <w:basedOn w:val="Standaardalinea-lettertype"/>
    <w:link w:val="Voettekst"/>
    <w:uiPriority w:val="99"/>
    <w:rsid w:val="00A90459"/>
    <w:rPr>
      <w:b/>
      <w:color w:val="999999" w:themeColor="accent4"/>
      <w:spacing w:val="2"/>
      <w:sz w:val="15"/>
    </w:rPr>
  </w:style>
  <w:style w:type="paragraph" w:styleId="Titel">
    <w:name w:val="Title"/>
    <w:basedOn w:val="Standaard"/>
    <w:next w:val="Standaard"/>
    <w:link w:val="TitelChar"/>
    <w:uiPriority w:val="11"/>
    <w:qFormat/>
    <w:rsid w:val="00556C5C"/>
    <w:pPr>
      <w:spacing w:line="216" w:lineRule="auto"/>
      <w:contextualSpacing/>
    </w:pPr>
    <w:rPr>
      <w:rFonts w:asciiTheme="majorHAnsi" w:eastAsiaTheme="majorEastAsia" w:hAnsiTheme="majorHAnsi" w:cstheme="majorBidi"/>
      <w:caps/>
      <w:noProof/>
      <w:color w:val="469AD3" w:themeColor="accent1"/>
      <w:kern w:val="28"/>
      <w:sz w:val="50"/>
      <w:szCs w:val="56"/>
    </w:rPr>
  </w:style>
  <w:style w:type="character" w:customStyle="1" w:styleId="TitelChar">
    <w:name w:val="Titel Char"/>
    <w:basedOn w:val="Standaardalinea-lettertype"/>
    <w:link w:val="Titel"/>
    <w:uiPriority w:val="11"/>
    <w:rsid w:val="00556C5C"/>
    <w:rPr>
      <w:rFonts w:asciiTheme="majorHAnsi" w:eastAsiaTheme="majorEastAsia" w:hAnsiTheme="majorHAnsi" w:cstheme="majorBidi"/>
      <w:caps/>
      <w:noProof/>
      <w:color w:val="469AD3" w:themeColor="accent1"/>
      <w:spacing w:val="2"/>
      <w:kern w:val="28"/>
      <w:sz w:val="50"/>
      <w:szCs w:val="56"/>
    </w:rPr>
  </w:style>
  <w:style w:type="paragraph" w:styleId="Ondertitel">
    <w:name w:val="Subtitle"/>
    <w:basedOn w:val="Standaard"/>
    <w:next w:val="Standaard"/>
    <w:link w:val="OndertitelChar"/>
    <w:uiPriority w:val="12"/>
    <w:rsid w:val="00017C75"/>
    <w:pPr>
      <w:numPr>
        <w:ilvl w:val="1"/>
      </w:numPr>
      <w:spacing w:line="216" w:lineRule="auto"/>
    </w:pPr>
    <w:rPr>
      <w:rFonts w:eastAsiaTheme="minorEastAsia"/>
      <w:b/>
      <w:bCs/>
      <w:noProof/>
      <w:color w:val="469AD3" w:themeColor="accent1"/>
      <w:sz w:val="32"/>
      <w:szCs w:val="48"/>
    </w:rPr>
  </w:style>
  <w:style w:type="character" w:customStyle="1" w:styleId="OndertitelChar">
    <w:name w:val="Ondertitel Char"/>
    <w:basedOn w:val="Standaardalinea-lettertype"/>
    <w:link w:val="Ondertitel"/>
    <w:uiPriority w:val="12"/>
    <w:rsid w:val="00017C75"/>
    <w:rPr>
      <w:rFonts w:eastAsiaTheme="minorEastAsia"/>
      <w:b/>
      <w:bCs/>
      <w:noProof/>
      <w:color w:val="469AD3" w:themeColor="accent1"/>
      <w:spacing w:val="2"/>
      <w:sz w:val="32"/>
      <w:szCs w:val="48"/>
    </w:rPr>
  </w:style>
  <w:style w:type="character" w:styleId="Tekstvantijdelijkeaanduiding">
    <w:name w:val="Placeholder Text"/>
    <w:basedOn w:val="Standaardalinea-lettertype"/>
    <w:uiPriority w:val="99"/>
    <w:semiHidden/>
    <w:rsid w:val="005B52A3"/>
    <w:rPr>
      <w:color w:val="808080"/>
    </w:rPr>
  </w:style>
  <w:style w:type="table" w:styleId="Tabelraster">
    <w:name w:val="Table Grid"/>
    <w:basedOn w:val="Standaardtabel"/>
    <w:uiPriority w:val="39"/>
    <w:rsid w:val="00ED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etekst">
    <w:name w:val="Introductietekst"/>
    <w:basedOn w:val="Standaard"/>
    <w:uiPriority w:val="2"/>
    <w:rsid w:val="00DD6350"/>
    <w:pPr>
      <w:spacing w:line="247" w:lineRule="auto"/>
      <w:ind w:right="4706"/>
    </w:pPr>
    <w:rPr>
      <w:noProof/>
      <w:color w:val="FFFFFF" w:themeColor="background1"/>
      <w:sz w:val="34"/>
      <w:szCs w:val="34"/>
    </w:rPr>
  </w:style>
  <w:style w:type="paragraph" w:customStyle="1" w:styleId="Kleinkopje">
    <w:name w:val="Klein kopje"/>
    <w:basedOn w:val="Standaard"/>
    <w:rsid w:val="00017C75"/>
    <w:rPr>
      <w:b/>
      <w:bCs/>
      <w:sz w:val="19"/>
      <w:szCs w:val="19"/>
    </w:rPr>
  </w:style>
  <w:style w:type="character" w:customStyle="1" w:styleId="Kop3Char">
    <w:name w:val="Kop 3 Char"/>
    <w:basedOn w:val="Standaardalinea-lettertype"/>
    <w:link w:val="Kop3"/>
    <w:uiPriority w:val="9"/>
    <w:rsid w:val="0044264B"/>
    <w:rPr>
      <w:rFonts w:asciiTheme="majorHAnsi" w:eastAsiaTheme="majorEastAsia" w:hAnsiTheme="majorHAnsi" w:cstheme="majorBidi"/>
      <w:b/>
      <w:color w:val="469AD3" w:themeColor="accent1"/>
      <w:spacing w:val="2"/>
      <w:sz w:val="24"/>
      <w:szCs w:val="24"/>
    </w:rPr>
  </w:style>
  <w:style w:type="numbering" w:customStyle="1" w:styleId="LijstalineaNAL">
    <w:name w:val="Lijstalinea NAL"/>
    <w:uiPriority w:val="99"/>
    <w:rsid w:val="00C30B3B"/>
    <w:pPr>
      <w:numPr>
        <w:numId w:val="9"/>
      </w:numPr>
    </w:pPr>
  </w:style>
  <w:style w:type="numbering" w:customStyle="1" w:styleId="LijstnummeringNAL">
    <w:name w:val="Lijstnummering NAL"/>
    <w:uiPriority w:val="99"/>
    <w:rsid w:val="00C30B3B"/>
    <w:pPr>
      <w:numPr>
        <w:numId w:val="2"/>
      </w:numPr>
    </w:pPr>
  </w:style>
  <w:style w:type="paragraph" w:styleId="Lijstalinea">
    <w:name w:val="List Paragraph"/>
    <w:basedOn w:val="Standaard"/>
    <w:uiPriority w:val="34"/>
    <w:qFormat/>
    <w:rsid w:val="00C30B3B"/>
    <w:pPr>
      <w:contextualSpacing/>
    </w:pPr>
  </w:style>
  <w:style w:type="paragraph" w:styleId="Bijschrift">
    <w:name w:val="caption"/>
    <w:basedOn w:val="Standaard"/>
    <w:next w:val="Standaard"/>
    <w:uiPriority w:val="35"/>
    <w:unhideWhenUsed/>
    <w:qFormat/>
    <w:rsid w:val="00EE2D9B"/>
    <w:pPr>
      <w:spacing w:after="200" w:line="240" w:lineRule="auto"/>
    </w:pPr>
    <w:rPr>
      <w:i/>
      <w:iCs/>
      <w:color w:val="233D5A" w:themeColor="accent3"/>
      <w:szCs w:val="18"/>
    </w:rPr>
  </w:style>
  <w:style w:type="paragraph" w:styleId="Lijstnummering">
    <w:name w:val="List Number"/>
    <w:basedOn w:val="Standaard"/>
    <w:uiPriority w:val="10"/>
    <w:unhideWhenUsed/>
    <w:qFormat/>
    <w:rsid w:val="00C30B3B"/>
    <w:pPr>
      <w:numPr>
        <w:numId w:val="2"/>
      </w:numPr>
      <w:contextualSpacing/>
    </w:pPr>
  </w:style>
  <w:style w:type="table" w:customStyle="1" w:styleId="TabelNAL">
    <w:name w:val="Tabel NAL"/>
    <w:basedOn w:val="Standaardtabel"/>
    <w:uiPriority w:val="99"/>
    <w:rsid w:val="00DD17B8"/>
    <w:tblPr>
      <w:tblBorders>
        <w:insideH w:val="single" w:sz="4" w:space="0" w:color="469AD3" w:themeColor="accent1"/>
      </w:tblBorders>
      <w:tblCellMar>
        <w:top w:w="28" w:type="dxa"/>
        <w:left w:w="57" w:type="dxa"/>
        <w:bottom w:w="28" w:type="dxa"/>
        <w:right w:w="57" w:type="dxa"/>
      </w:tblCellMar>
    </w:tblPr>
    <w:tblStylePr w:type="firstRow">
      <w:rPr>
        <w:b/>
        <w:color w:val="FFFFFF" w:themeColor="background1"/>
      </w:rPr>
      <w:tblPr/>
      <w:tcPr>
        <w:shd w:val="clear" w:color="auto" w:fill="233D5A" w:themeFill="accent3"/>
      </w:tcPr>
    </w:tblStylePr>
    <w:tblStylePr w:type="lastRow">
      <w:rPr>
        <w:b/>
      </w:rPr>
      <w:tblPr/>
      <w:tcPr>
        <w:tcBorders>
          <w:top w:val="single" w:sz="12" w:space="0" w:color="233D5A" w:themeColor="accent3"/>
          <w:left w:val="nil"/>
          <w:bottom w:val="nil"/>
          <w:right w:val="nil"/>
          <w:insideH w:val="nil"/>
          <w:insideV w:val="nil"/>
          <w:tl2br w:val="nil"/>
          <w:tr2bl w:val="nil"/>
        </w:tcBorders>
      </w:tcPr>
    </w:tblStylePr>
  </w:style>
  <w:style w:type="character" w:styleId="Hyperlink">
    <w:name w:val="Hyperlink"/>
    <w:basedOn w:val="Standaardalinea-lettertype"/>
    <w:uiPriority w:val="99"/>
    <w:unhideWhenUsed/>
    <w:rsid w:val="00D15F03"/>
    <w:rPr>
      <w:color w:val="000000" w:themeColor="hyperlink"/>
      <w:u w:val="single"/>
    </w:rPr>
  </w:style>
  <w:style w:type="character" w:styleId="Onopgelostemelding">
    <w:name w:val="Unresolved Mention"/>
    <w:basedOn w:val="Standaardalinea-lettertype"/>
    <w:uiPriority w:val="99"/>
    <w:semiHidden/>
    <w:unhideWhenUsed/>
    <w:rsid w:val="00D15F03"/>
    <w:rPr>
      <w:color w:val="605E5C"/>
      <w:shd w:val="clear" w:color="auto" w:fill="E1DFDD"/>
    </w:rPr>
  </w:style>
  <w:style w:type="character" w:styleId="GevolgdeHyperlink">
    <w:name w:val="FollowedHyperlink"/>
    <w:basedOn w:val="Standaardalinea-lettertype"/>
    <w:uiPriority w:val="99"/>
    <w:semiHidden/>
    <w:unhideWhenUsed/>
    <w:rsid w:val="002E3685"/>
    <w:rPr>
      <w:color w:val="000000" w:themeColor="followedHyperlink"/>
      <w:u w:val="single"/>
    </w:rPr>
  </w:style>
  <w:style w:type="character" w:styleId="Verwijzingopmerking">
    <w:name w:val="annotation reference"/>
    <w:basedOn w:val="Standaardalinea-lettertype"/>
    <w:uiPriority w:val="99"/>
    <w:semiHidden/>
    <w:unhideWhenUsed/>
    <w:rsid w:val="004B5A3C"/>
    <w:rPr>
      <w:sz w:val="16"/>
      <w:szCs w:val="16"/>
    </w:rPr>
  </w:style>
  <w:style w:type="paragraph" w:styleId="Geenafstand">
    <w:name w:val="No Spacing"/>
    <w:uiPriority w:val="1"/>
    <w:qFormat/>
    <w:rsid w:val="004B5A3C"/>
  </w:style>
  <w:style w:type="paragraph" w:styleId="Tekstopmerking">
    <w:name w:val="annotation text"/>
    <w:basedOn w:val="Standaard"/>
    <w:link w:val="TekstopmerkingChar"/>
    <w:uiPriority w:val="99"/>
    <w:semiHidden/>
    <w:unhideWhenUsed/>
    <w:rsid w:val="00795E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5EF1"/>
    <w:rPr>
      <w:spacing w:val="2"/>
      <w:sz w:val="20"/>
      <w:szCs w:val="20"/>
    </w:rPr>
  </w:style>
  <w:style w:type="paragraph" w:styleId="Onderwerpvanopmerking">
    <w:name w:val="annotation subject"/>
    <w:basedOn w:val="Tekstopmerking"/>
    <w:next w:val="Tekstopmerking"/>
    <w:link w:val="OnderwerpvanopmerkingChar"/>
    <w:uiPriority w:val="99"/>
    <w:semiHidden/>
    <w:unhideWhenUsed/>
    <w:rsid w:val="00795EF1"/>
    <w:rPr>
      <w:b/>
      <w:bCs/>
    </w:rPr>
  </w:style>
  <w:style w:type="character" w:customStyle="1" w:styleId="OnderwerpvanopmerkingChar">
    <w:name w:val="Onderwerp van opmerking Char"/>
    <w:basedOn w:val="TekstopmerkingChar"/>
    <w:link w:val="Onderwerpvanopmerking"/>
    <w:uiPriority w:val="99"/>
    <w:semiHidden/>
    <w:rsid w:val="00795EF1"/>
    <w:rPr>
      <w:b/>
      <w:bCs/>
      <w:spacing w:val="2"/>
      <w:sz w:val="20"/>
      <w:szCs w:val="20"/>
    </w:rPr>
  </w:style>
  <w:style w:type="paragraph" w:styleId="Revisie">
    <w:name w:val="Revision"/>
    <w:hidden/>
    <w:uiPriority w:val="99"/>
    <w:semiHidden/>
    <w:rsid w:val="00795EF1"/>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57868">
      <w:bodyDiv w:val="1"/>
      <w:marLeft w:val="0"/>
      <w:marRight w:val="0"/>
      <w:marTop w:val="0"/>
      <w:marBottom w:val="0"/>
      <w:divBdr>
        <w:top w:val="none" w:sz="0" w:space="0" w:color="auto"/>
        <w:left w:val="none" w:sz="0" w:space="0" w:color="auto"/>
        <w:bottom w:val="none" w:sz="0" w:space="0" w:color="auto"/>
        <w:right w:val="none" w:sz="0" w:space="0" w:color="auto"/>
      </w:divBdr>
    </w:div>
    <w:div w:id="15652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vo.nl/onderwerpen/elektrisch-rijd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cs.eco-movement.com/guides/reporting/full-data-download/attribute-definition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vo.nl/onderwerpen/elektrisch-rijd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www.agendalaadinfrastructuur.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78BCA837A4ABD9E1F949A1D97DAAE"/>
        <w:category>
          <w:name w:val="Algemeen"/>
          <w:gallery w:val="placeholder"/>
        </w:category>
        <w:types>
          <w:type w:val="bbPlcHdr"/>
        </w:types>
        <w:behaviors>
          <w:behavior w:val="content"/>
        </w:behaviors>
        <w:guid w:val="{0BB1AE4D-99AC-44A5-87A1-CD10EC3F8FE9}"/>
      </w:docPartPr>
      <w:docPartBody>
        <w:p w:rsidR="00820A36" w:rsidRDefault="006A29C6">
          <w:pPr>
            <w:pStyle w:val="9EC78BCA837A4ABD9E1F949A1D97DAAE"/>
          </w:pPr>
          <w:r w:rsidRPr="00CB3B05">
            <w:rPr>
              <w:rStyle w:val="Tekstvantijdelijkeaanduiding"/>
            </w:rPr>
            <w:t>[Tite</w:t>
          </w:r>
          <w:r>
            <w:rPr>
              <w:rStyle w:val="Tekstvantijdelijkeaanduiding"/>
            </w:rPr>
            <w:t>l</w:t>
          </w:r>
          <w:r w:rsidRPr="00CB3B05">
            <w:rPr>
              <w:rStyle w:val="Tekstvantijdelijkeaanduiding"/>
            </w:rPr>
            <w:t>]</w:t>
          </w:r>
        </w:p>
      </w:docPartBody>
    </w:docPart>
    <w:docPart>
      <w:docPartPr>
        <w:name w:val="E9E843A1064D4F4B92520D5BA626A249"/>
        <w:category>
          <w:name w:val="Algemeen"/>
          <w:gallery w:val="placeholder"/>
        </w:category>
        <w:types>
          <w:type w:val="bbPlcHdr"/>
        </w:types>
        <w:behaviors>
          <w:behavior w:val="content"/>
        </w:behaviors>
        <w:guid w:val="{04460C75-0C11-430D-B7C4-F74B28FC887C}"/>
      </w:docPartPr>
      <w:docPartBody>
        <w:p w:rsidR="00820A36" w:rsidRDefault="006A29C6">
          <w:pPr>
            <w:pStyle w:val="E9E843A1064D4F4B92520D5BA626A249"/>
          </w:pPr>
          <w:r w:rsidRPr="009420EC">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C6"/>
    <w:rsid w:val="006A29C6"/>
    <w:rsid w:val="00820A36"/>
    <w:rsid w:val="00967F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EC78BCA837A4ABD9E1F949A1D97DAAE">
    <w:name w:val="9EC78BCA837A4ABD9E1F949A1D97DAAE"/>
  </w:style>
  <w:style w:type="paragraph" w:customStyle="1" w:styleId="E9E843A1064D4F4B92520D5BA626A249">
    <w:name w:val="E9E843A1064D4F4B92520D5BA626A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NAL">
      <a:dk1>
        <a:sysClr val="windowText" lastClr="000000"/>
      </a:dk1>
      <a:lt1>
        <a:sysClr val="window" lastClr="FFFFFF"/>
      </a:lt1>
      <a:dk2>
        <a:srgbClr val="000000"/>
      </a:dk2>
      <a:lt2>
        <a:srgbClr val="FFFFFF"/>
      </a:lt2>
      <a:accent1>
        <a:srgbClr val="469AD3"/>
      </a:accent1>
      <a:accent2>
        <a:srgbClr val="F06800"/>
      </a:accent2>
      <a:accent3>
        <a:srgbClr val="233D5A"/>
      </a:accent3>
      <a:accent4>
        <a:srgbClr val="999999"/>
      </a:accent4>
      <a:accent5>
        <a:srgbClr val="C7E1F2"/>
      </a:accent5>
      <a:accent6>
        <a:srgbClr val="F7C9B2"/>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1852</Words>
  <Characters>10189</Characters>
  <Application>Microsoft Office Word</Application>
  <DocSecurity>0</DocSecurity>
  <Lines>84</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Memo</vt: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Stienstra - Luiken, J. (Josja)</dc:creator>
  <cp:keywords/>
  <dc:description/>
  <cp:lastModifiedBy>Wolterman, B. (Britt)</cp:lastModifiedBy>
  <cp:revision>2</cp:revision>
  <dcterms:created xsi:type="dcterms:W3CDTF">2023-11-10T10:22:00Z</dcterms:created>
  <dcterms:modified xsi:type="dcterms:W3CDTF">2023-11-10T10:22:00Z</dcterms:modified>
</cp:coreProperties>
</file>